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5569" w14:textId="2CECEB5A" w:rsidR="0073037C" w:rsidRDefault="0073037C" w:rsidP="008E619F">
      <w:pPr>
        <w:spacing w:after="120" w:line="240" w:lineRule="auto"/>
        <w:jc w:val="center"/>
        <w:rPr>
          <w:rFonts w:ascii="Exo 2.0" w:hAnsi="Exo 2.0" w:cs="Times New Roman"/>
          <w:b/>
          <w:sz w:val="24"/>
        </w:rPr>
      </w:pPr>
      <w:bookmarkStart w:id="0" w:name="_Hlk17097997"/>
      <w:bookmarkStart w:id="1" w:name="_GoBack"/>
      <w:bookmarkEnd w:id="1"/>
      <w:r w:rsidRPr="003C6379">
        <w:rPr>
          <w:rFonts w:ascii="Exo 2.0" w:hAnsi="Exo 2.0" w:cs="Times New Roman"/>
          <w:b/>
          <w:noProof/>
          <w:sz w:val="24"/>
          <w:lang w:eastAsia="pl-PL"/>
        </w:rPr>
        <w:drawing>
          <wp:anchor distT="0" distB="0" distL="114300" distR="114300" simplePos="0" relativeHeight="251657216" behindDoc="0" locked="0" layoutInCell="1" allowOverlap="1" wp14:anchorId="0BB30F47" wp14:editId="180DB1CB">
            <wp:simplePos x="0" y="0"/>
            <wp:positionH relativeFrom="margin">
              <wp:posOffset>3007995</wp:posOffset>
            </wp:positionH>
            <wp:positionV relativeFrom="margin">
              <wp:posOffset>-28575</wp:posOffset>
            </wp:positionV>
            <wp:extent cx="3143250" cy="11334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rsje kolor_transparentne_png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4ACCC" w14:textId="52E27610" w:rsidR="0073037C" w:rsidRDefault="0073037C" w:rsidP="008E619F">
      <w:pPr>
        <w:spacing w:after="120" w:line="240" w:lineRule="auto"/>
        <w:jc w:val="center"/>
        <w:rPr>
          <w:rFonts w:ascii="Exo 2.0" w:hAnsi="Exo 2.0" w:cs="Times New Roman"/>
          <w:b/>
          <w:sz w:val="24"/>
        </w:rPr>
      </w:pPr>
      <w:r w:rsidRPr="0073037C">
        <w:rPr>
          <w:rFonts w:ascii="Exo 2.0" w:hAnsi="Exo 2.0" w:cs="Times New Roman"/>
          <w:b/>
          <w:noProof/>
          <w:sz w:val="24"/>
        </w:rPr>
        <w:drawing>
          <wp:inline distT="0" distB="0" distL="0" distR="0" wp14:anchorId="54D81FAC" wp14:editId="6C4E73F1">
            <wp:extent cx="2762250" cy="591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83" cy="5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807F7" w14:textId="552C556B" w:rsidR="0073037C" w:rsidRDefault="0073037C" w:rsidP="008E619F">
      <w:pPr>
        <w:spacing w:after="120" w:line="240" w:lineRule="auto"/>
        <w:jc w:val="center"/>
        <w:rPr>
          <w:rFonts w:ascii="Exo 2.0" w:hAnsi="Exo 2.0" w:cs="Times New Roman"/>
          <w:b/>
          <w:sz w:val="24"/>
        </w:rPr>
      </w:pPr>
    </w:p>
    <w:p w14:paraId="11462E19" w14:textId="77777777" w:rsidR="0073037C" w:rsidRDefault="0073037C" w:rsidP="008E619F">
      <w:pPr>
        <w:spacing w:after="120" w:line="240" w:lineRule="auto"/>
        <w:jc w:val="center"/>
        <w:rPr>
          <w:rFonts w:ascii="Exo 2.0" w:hAnsi="Exo 2.0" w:cs="Times New Roman"/>
          <w:b/>
          <w:sz w:val="24"/>
        </w:rPr>
      </w:pPr>
    </w:p>
    <w:p w14:paraId="6AE910F3" w14:textId="503C2667" w:rsidR="009F3D3C" w:rsidRPr="003C6379" w:rsidRDefault="00135ED3" w:rsidP="008E619F">
      <w:pPr>
        <w:spacing w:after="120" w:line="240" w:lineRule="auto"/>
        <w:jc w:val="center"/>
        <w:rPr>
          <w:rFonts w:ascii="Exo 2.0" w:hAnsi="Exo 2.0" w:cs="Times New Roman"/>
          <w:b/>
          <w:sz w:val="24"/>
        </w:rPr>
      </w:pPr>
      <w:r w:rsidRPr="003C6379">
        <w:rPr>
          <w:rFonts w:ascii="Exo 2.0" w:hAnsi="Exo 2.0" w:cs="Times New Roman"/>
          <w:b/>
          <w:sz w:val="24"/>
        </w:rPr>
        <w:t>I</w:t>
      </w:r>
      <w:r w:rsidR="004647EB">
        <w:rPr>
          <w:rFonts w:ascii="Exo 2.0" w:hAnsi="Exo 2.0" w:cs="Times New Roman"/>
          <w:b/>
          <w:sz w:val="24"/>
        </w:rPr>
        <w:t>I</w:t>
      </w:r>
      <w:r w:rsidRPr="003C6379">
        <w:rPr>
          <w:rFonts w:ascii="Exo 2.0" w:hAnsi="Exo 2.0" w:cs="Times New Roman"/>
          <w:b/>
          <w:sz w:val="24"/>
        </w:rPr>
        <w:t xml:space="preserve"> Ogólnopolska Konferencja Naukowa</w:t>
      </w:r>
    </w:p>
    <w:p w14:paraId="0A3C3A7C" w14:textId="3DBA14A8" w:rsidR="00CA683C" w:rsidRPr="007B36F1" w:rsidRDefault="00F2244D" w:rsidP="00E324AE">
      <w:pPr>
        <w:spacing w:after="0" w:line="240" w:lineRule="auto"/>
        <w:jc w:val="center"/>
        <w:rPr>
          <w:rFonts w:ascii="Exo 2.0" w:hAnsi="Exo 2.0" w:cs="Times New Roman"/>
          <w:b/>
          <w:i/>
          <w:color w:val="70AD47" w:themeColor="accent6"/>
          <w:sz w:val="28"/>
        </w:rPr>
      </w:pPr>
      <w:r>
        <w:rPr>
          <w:rFonts w:ascii="Exo 2.0" w:hAnsi="Exo 2.0" w:cs="Times New Roman"/>
          <w:b/>
          <w:i/>
          <w:color w:val="70AD47" w:themeColor="accent6"/>
          <w:sz w:val="28"/>
        </w:rPr>
        <w:t>„</w:t>
      </w:r>
      <w:r w:rsidR="00E21B81" w:rsidRPr="007B36F1">
        <w:rPr>
          <w:rFonts w:ascii="Exo 2.0" w:hAnsi="Exo 2.0" w:cs="Times New Roman"/>
          <w:b/>
          <w:i/>
          <w:color w:val="70AD47" w:themeColor="accent6"/>
          <w:sz w:val="28"/>
        </w:rPr>
        <w:t>Gospodarka o obiegu zamkniętym</w:t>
      </w:r>
      <w:r>
        <w:rPr>
          <w:rFonts w:ascii="Exo 2.0" w:hAnsi="Exo 2.0" w:cs="Times New Roman"/>
          <w:b/>
          <w:i/>
          <w:color w:val="70AD47" w:themeColor="accent6"/>
          <w:sz w:val="28"/>
        </w:rPr>
        <w:t>”</w:t>
      </w:r>
      <w:r w:rsidR="00E21B81" w:rsidRPr="007B36F1">
        <w:rPr>
          <w:rFonts w:ascii="Exo 2.0" w:hAnsi="Exo 2.0" w:cs="Times New Roman"/>
          <w:b/>
          <w:i/>
          <w:color w:val="70AD47" w:themeColor="accent6"/>
          <w:sz w:val="28"/>
        </w:rPr>
        <w:t xml:space="preserve"> </w:t>
      </w:r>
    </w:p>
    <w:p w14:paraId="439C526E" w14:textId="77777777" w:rsidR="00E324AE" w:rsidRPr="003C6379" w:rsidRDefault="00E324AE" w:rsidP="00E324AE">
      <w:pPr>
        <w:spacing w:after="0" w:line="240" w:lineRule="auto"/>
        <w:jc w:val="center"/>
        <w:rPr>
          <w:rFonts w:ascii="Exo 2.0" w:hAnsi="Exo 2.0" w:cs="Times New Roman"/>
          <w:sz w:val="24"/>
        </w:rPr>
      </w:pPr>
    </w:p>
    <w:p w14:paraId="7CB1E1E4" w14:textId="6CA623FE" w:rsidR="00A8289A" w:rsidRPr="005947C4" w:rsidRDefault="004647EB" w:rsidP="005947C4">
      <w:pPr>
        <w:spacing w:after="0" w:line="240" w:lineRule="auto"/>
        <w:jc w:val="center"/>
        <w:rPr>
          <w:rFonts w:ascii="Exo 2.0" w:hAnsi="Exo 2.0" w:cs="Times New Roman"/>
          <w:b/>
          <w:sz w:val="24"/>
        </w:rPr>
      </w:pPr>
      <w:r>
        <w:rPr>
          <w:rFonts w:ascii="Exo 2.0" w:hAnsi="Exo 2.0" w:cs="Times New Roman"/>
          <w:b/>
          <w:sz w:val="24"/>
        </w:rPr>
        <w:t>6-7</w:t>
      </w:r>
      <w:r w:rsidR="00815ACA">
        <w:rPr>
          <w:rFonts w:ascii="Exo 2.0" w:hAnsi="Exo 2.0" w:cs="Times New Roman"/>
          <w:b/>
          <w:sz w:val="24"/>
        </w:rPr>
        <w:t xml:space="preserve"> </w:t>
      </w:r>
      <w:r>
        <w:rPr>
          <w:rFonts w:ascii="Exo 2.0" w:hAnsi="Exo 2.0" w:cs="Times New Roman"/>
          <w:b/>
          <w:sz w:val="24"/>
        </w:rPr>
        <w:t xml:space="preserve">listopada </w:t>
      </w:r>
      <w:r w:rsidR="006F4BF1" w:rsidRPr="003C6379">
        <w:rPr>
          <w:rFonts w:ascii="Exo 2.0" w:hAnsi="Exo 2.0" w:cs="Times New Roman"/>
          <w:b/>
          <w:sz w:val="24"/>
        </w:rPr>
        <w:t>201</w:t>
      </w:r>
      <w:r>
        <w:rPr>
          <w:rFonts w:ascii="Exo 2.0" w:hAnsi="Exo 2.0" w:cs="Times New Roman"/>
          <w:b/>
          <w:sz w:val="24"/>
        </w:rPr>
        <w:t>9</w:t>
      </w:r>
      <w:r w:rsidR="00F2244D">
        <w:rPr>
          <w:rFonts w:ascii="Exo 2.0" w:hAnsi="Exo 2.0" w:cs="Times New Roman"/>
          <w:b/>
          <w:sz w:val="24"/>
        </w:rPr>
        <w:t xml:space="preserve"> r.</w:t>
      </w:r>
      <w:r w:rsidR="003C6379" w:rsidRPr="003C6379">
        <w:rPr>
          <w:rFonts w:ascii="Exo 2.0" w:hAnsi="Exo 2.0" w:cs="Times New Roman"/>
          <w:b/>
          <w:sz w:val="24"/>
        </w:rPr>
        <w:t xml:space="preserve"> </w:t>
      </w:r>
    </w:p>
    <w:p w14:paraId="4F33DA51" w14:textId="77777777" w:rsidR="00620147" w:rsidRDefault="00620147" w:rsidP="005C730B">
      <w:pPr>
        <w:spacing w:after="120" w:line="240" w:lineRule="auto"/>
        <w:jc w:val="both"/>
        <w:rPr>
          <w:rFonts w:ascii="Exo 2.0" w:hAnsi="Exo 2.0" w:cs="Times New Roman"/>
        </w:rPr>
      </w:pPr>
    </w:p>
    <w:p w14:paraId="134B443F" w14:textId="43DDAD63" w:rsidR="00A8289A" w:rsidRPr="007B36F1" w:rsidRDefault="000644E0" w:rsidP="00C32656">
      <w:pPr>
        <w:ind w:left="-567" w:right="-567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C</w:t>
      </w:r>
      <w:r w:rsidR="00A8289A" w:rsidRPr="007B36F1">
        <w:rPr>
          <w:rFonts w:cs="Times New Roman"/>
          <w:sz w:val="24"/>
          <w:szCs w:val="24"/>
        </w:rPr>
        <w:t>elem konferencji jest przybliżenie wiedzy oraz wymiana doświadczeń</w:t>
      </w:r>
      <w:r w:rsidR="00C32656" w:rsidRPr="007B36F1">
        <w:rPr>
          <w:rFonts w:cs="Times New Roman"/>
          <w:sz w:val="24"/>
          <w:szCs w:val="24"/>
        </w:rPr>
        <w:t xml:space="preserve"> naukowych w </w:t>
      </w:r>
      <w:r w:rsidR="00A8289A" w:rsidRPr="007B36F1">
        <w:rPr>
          <w:rFonts w:cs="Times New Roman"/>
          <w:sz w:val="24"/>
          <w:szCs w:val="24"/>
        </w:rPr>
        <w:t xml:space="preserve">zakresie </w:t>
      </w:r>
      <w:r w:rsidR="00C32656" w:rsidRPr="007B36F1">
        <w:rPr>
          <w:rFonts w:cs="Times New Roman"/>
          <w:sz w:val="24"/>
          <w:szCs w:val="24"/>
        </w:rPr>
        <w:t xml:space="preserve">gospodarki o </w:t>
      </w:r>
      <w:r w:rsidR="00BA4097" w:rsidRPr="007B36F1">
        <w:rPr>
          <w:rFonts w:cs="Times New Roman"/>
          <w:sz w:val="24"/>
          <w:szCs w:val="24"/>
        </w:rPr>
        <w:t>obiegu zamkniętym</w:t>
      </w:r>
      <w:r w:rsidR="00A8289A" w:rsidRPr="007B36F1">
        <w:rPr>
          <w:rFonts w:cs="Times New Roman"/>
          <w:sz w:val="24"/>
          <w:szCs w:val="24"/>
        </w:rPr>
        <w:t>, w szczególności wytwórstwa, przetwórstwa i funkcjonalności, ze szczególnym uwzględnieniem aspektów środowis</w:t>
      </w:r>
      <w:r w:rsidR="003C6379" w:rsidRPr="007B36F1">
        <w:rPr>
          <w:rFonts w:cs="Times New Roman"/>
          <w:sz w:val="24"/>
          <w:szCs w:val="24"/>
        </w:rPr>
        <w:t>kowych, a także ekonomicznych</w:t>
      </w:r>
      <w:r w:rsidR="00B6657A">
        <w:rPr>
          <w:rFonts w:cs="Times New Roman"/>
          <w:sz w:val="24"/>
          <w:szCs w:val="24"/>
        </w:rPr>
        <w:t xml:space="preserve"> </w:t>
      </w:r>
      <w:r w:rsidR="003C6379" w:rsidRPr="007B36F1">
        <w:rPr>
          <w:rFonts w:cs="Times New Roman"/>
          <w:sz w:val="24"/>
          <w:szCs w:val="24"/>
        </w:rPr>
        <w:t>i</w:t>
      </w:r>
      <w:r w:rsidR="00B6657A">
        <w:rPr>
          <w:rFonts w:cs="Times New Roman"/>
          <w:sz w:val="24"/>
          <w:szCs w:val="24"/>
        </w:rPr>
        <w:t xml:space="preserve"> </w:t>
      </w:r>
      <w:r w:rsidR="00A8289A" w:rsidRPr="007B36F1">
        <w:rPr>
          <w:rFonts w:cs="Times New Roman"/>
          <w:sz w:val="24"/>
          <w:szCs w:val="24"/>
        </w:rPr>
        <w:t xml:space="preserve">prawnych oraz trendów konsumenckich. </w:t>
      </w:r>
      <w:r w:rsidR="00A8289A" w:rsidRPr="007B36F1">
        <w:rPr>
          <w:rFonts w:cs="Times New Roman"/>
          <w:color w:val="000000" w:themeColor="text1"/>
          <w:sz w:val="24"/>
          <w:szCs w:val="24"/>
        </w:rPr>
        <w:t>Konferencja</w:t>
      </w:r>
      <w:r w:rsidR="00A8289A" w:rsidRPr="007B36F1">
        <w:rPr>
          <w:rFonts w:cs="Times New Roman"/>
          <w:sz w:val="24"/>
          <w:szCs w:val="24"/>
        </w:rPr>
        <w:t xml:space="preserve"> adresowana </w:t>
      </w:r>
      <w:r w:rsidR="00A8289A" w:rsidRPr="007B36F1">
        <w:rPr>
          <w:rFonts w:cs="Times New Roman"/>
          <w:color w:val="000000" w:themeColor="text1"/>
          <w:sz w:val="24"/>
          <w:szCs w:val="24"/>
        </w:rPr>
        <w:t>jest</w:t>
      </w:r>
      <w:r w:rsidR="00A8289A" w:rsidRPr="007B36F1">
        <w:rPr>
          <w:rFonts w:cs="Times New Roman"/>
          <w:sz w:val="24"/>
          <w:szCs w:val="24"/>
        </w:rPr>
        <w:t xml:space="preserve"> </w:t>
      </w:r>
      <w:r w:rsidRPr="007B36F1">
        <w:rPr>
          <w:rFonts w:cs="Times New Roman"/>
          <w:sz w:val="24"/>
          <w:szCs w:val="24"/>
        </w:rPr>
        <w:t xml:space="preserve">do przedstawicieli świata nauki, </w:t>
      </w:r>
      <w:r w:rsidR="00A8289A" w:rsidRPr="007B36F1">
        <w:rPr>
          <w:rFonts w:cs="Times New Roman"/>
          <w:color w:val="000000" w:themeColor="text1"/>
          <w:sz w:val="24"/>
          <w:szCs w:val="24"/>
        </w:rPr>
        <w:t>do doświadczonych pracowników naukowych, a także do studentów, doktorantów oraz d</w:t>
      </w:r>
      <w:r w:rsidR="00C32656" w:rsidRPr="007B36F1">
        <w:rPr>
          <w:rFonts w:cs="Times New Roman"/>
          <w:color w:val="000000" w:themeColor="text1"/>
          <w:sz w:val="24"/>
          <w:szCs w:val="24"/>
        </w:rPr>
        <w:t xml:space="preserve">o osób działających w zakresie </w:t>
      </w:r>
      <w:r w:rsidR="00A8289A" w:rsidRPr="007B36F1">
        <w:rPr>
          <w:rFonts w:cs="Times New Roman"/>
          <w:color w:val="000000" w:themeColor="text1"/>
          <w:sz w:val="24"/>
          <w:szCs w:val="24"/>
        </w:rPr>
        <w:t xml:space="preserve">praktyki gospodarczej. </w:t>
      </w:r>
    </w:p>
    <w:p w14:paraId="4985F12A" w14:textId="77777777" w:rsidR="00A8289A" w:rsidRPr="007B36F1" w:rsidRDefault="00A8289A" w:rsidP="0065768A">
      <w:pPr>
        <w:spacing w:after="0" w:line="276" w:lineRule="auto"/>
        <w:ind w:left="-567" w:right="-567"/>
        <w:jc w:val="both"/>
        <w:rPr>
          <w:rFonts w:cs="Times New Roman"/>
          <w:color w:val="000000" w:themeColor="text1"/>
          <w:sz w:val="24"/>
          <w:szCs w:val="24"/>
        </w:rPr>
      </w:pPr>
      <w:r w:rsidRPr="007B36F1">
        <w:rPr>
          <w:rFonts w:cs="Times New Roman"/>
          <w:color w:val="000000" w:themeColor="text1"/>
          <w:sz w:val="24"/>
          <w:szCs w:val="24"/>
        </w:rPr>
        <w:t xml:space="preserve">W programie konferencji przewidziane są referaty plenarne, sesja naukowa i </w:t>
      </w:r>
      <w:proofErr w:type="spellStart"/>
      <w:r w:rsidRPr="007B36F1">
        <w:rPr>
          <w:rFonts w:cs="Times New Roman"/>
          <w:color w:val="000000" w:themeColor="text1"/>
          <w:sz w:val="24"/>
          <w:szCs w:val="24"/>
        </w:rPr>
        <w:t>posterowa</w:t>
      </w:r>
      <w:proofErr w:type="spellEnd"/>
      <w:r w:rsidRPr="007B36F1">
        <w:rPr>
          <w:rFonts w:cs="Times New Roman"/>
          <w:color w:val="000000" w:themeColor="text1"/>
          <w:sz w:val="24"/>
          <w:szCs w:val="24"/>
        </w:rPr>
        <w:t xml:space="preserve"> oraz sesja przeznacz</w:t>
      </w:r>
      <w:r w:rsidR="00C32656" w:rsidRPr="007B36F1">
        <w:rPr>
          <w:rFonts w:cs="Times New Roman"/>
          <w:color w:val="000000" w:themeColor="text1"/>
          <w:sz w:val="24"/>
          <w:szCs w:val="24"/>
        </w:rPr>
        <w:t xml:space="preserve">ona dla młodych naukowców i </w:t>
      </w:r>
      <w:r w:rsidRPr="007B36F1">
        <w:rPr>
          <w:rFonts w:cs="Times New Roman"/>
          <w:color w:val="000000" w:themeColor="text1"/>
          <w:sz w:val="24"/>
          <w:szCs w:val="24"/>
        </w:rPr>
        <w:t xml:space="preserve">doktorantów. </w:t>
      </w:r>
    </w:p>
    <w:p w14:paraId="3281AEA7" w14:textId="77777777" w:rsidR="00A8289A" w:rsidRPr="007B36F1" w:rsidRDefault="00A8289A" w:rsidP="005C730B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341600B4" w14:textId="77777777" w:rsidR="00A8289A" w:rsidRPr="007B36F1" w:rsidRDefault="00C04CD7" w:rsidP="003B18A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="Times New Roman"/>
          <w:b/>
          <w:color w:val="70AD47" w:themeColor="accent6"/>
          <w:sz w:val="24"/>
          <w:szCs w:val="24"/>
        </w:rPr>
      </w:pPr>
      <w:r w:rsidRPr="007B36F1">
        <w:rPr>
          <w:rFonts w:cs="Times New Roman"/>
          <w:b/>
          <w:color w:val="70AD47" w:themeColor="accent6"/>
          <w:sz w:val="24"/>
          <w:szCs w:val="24"/>
        </w:rPr>
        <w:t>Tematyka konferencji obejmuje poniższe zagadnienia:</w:t>
      </w:r>
    </w:p>
    <w:p w14:paraId="4B25D088" w14:textId="77777777" w:rsidR="003B18A2" w:rsidRPr="007B36F1" w:rsidRDefault="001033A2" w:rsidP="003B18A2">
      <w:pPr>
        <w:spacing w:after="120" w:line="240" w:lineRule="auto"/>
        <w:jc w:val="both"/>
        <w:rPr>
          <w:rFonts w:cs="Times New Roman"/>
          <w:b/>
          <w:color w:val="2E3A8D"/>
          <w:sz w:val="24"/>
          <w:szCs w:val="24"/>
        </w:rPr>
      </w:pPr>
      <w:r w:rsidRPr="007B36F1">
        <w:rPr>
          <w:rFonts w:cs="Times New Roman"/>
          <w:b/>
          <w:color w:val="2E3A8D"/>
          <w:sz w:val="24"/>
          <w:szCs w:val="24"/>
        </w:rPr>
        <w:t>T</w:t>
      </w:r>
      <w:r w:rsidR="00E051B9" w:rsidRPr="007B36F1">
        <w:rPr>
          <w:rFonts w:cs="Times New Roman"/>
          <w:b/>
          <w:color w:val="2E3A8D"/>
          <w:sz w:val="24"/>
          <w:szCs w:val="24"/>
        </w:rPr>
        <w:t>rendy</w:t>
      </w:r>
      <w:r w:rsidR="00A851FF" w:rsidRPr="007B36F1">
        <w:rPr>
          <w:rFonts w:cs="Times New Roman"/>
          <w:b/>
          <w:color w:val="2E3A8D"/>
          <w:sz w:val="24"/>
          <w:szCs w:val="24"/>
        </w:rPr>
        <w:t xml:space="preserve"> i wyzwania</w:t>
      </w:r>
      <w:r w:rsidR="00C32656" w:rsidRPr="007B36F1">
        <w:rPr>
          <w:rFonts w:cs="Times New Roman"/>
          <w:b/>
          <w:color w:val="2E3A8D"/>
          <w:sz w:val="24"/>
          <w:szCs w:val="24"/>
        </w:rPr>
        <w:t>:</w:t>
      </w:r>
    </w:p>
    <w:p w14:paraId="04BDD4C4" w14:textId="77777777" w:rsidR="00A851FF" w:rsidRPr="007B36F1" w:rsidRDefault="001033A2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a</w:t>
      </w:r>
      <w:r w:rsidR="00A851FF" w:rsidRPr="007B36F1">
        <w:rPr>
          <w:rFonts w:cs="Times New Roman"/>
          <w:sz w:val="24"/>
          <w:szCs w:val="24"/>
        </w:rPr>
        <w:t>spekty ekonomiczne</w:t>
      </w:r>
      <w:r w:rsidR="00FC5F52" w:rsidRPr="007B36F1">
        <w:rPr>
          <w:rFonts w:cs="Times New Roman"/>
          <w:sz w:val="24"/>
          <w:szCs w:val="24"/>
        </w:rPr>
        <w:t xml:space="preserve">, środowiskowe </w:t>
      </w:r>
      <w:r w:rsidR="00A8289A" w:rsidRPr="007B36F1">
        <w:rPr>
          <w:rFonts w:cs="Times New Roman"/>
          <w:sz w:val="24"/>
          <w:szCs w:val="24"/>
        </w:rPr>
        <w:t>i prawne</w:t>
      </w:r>
    </w:p>
    <w:p w14:paraId="01981123" w14:textId="77777777" w:rsidR="00BD57B4" w:rsidRPr="007B36F1" w:rsidRDefault="001033A2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t</w:t>
      </w:r>
      <w:r w:rsidR="00BD57B4" w:rsidRPr="007B36F1">
        <w:rPr>
          <w:rFonts w:cs="Times New Roman"/>
          <w:sz w:val="24"/>
          <w:szCs w:val="24"/>
        </w:rPr>
        <w:t>rendy konsumenckie</w:t>
      </w:r>
    </w:p>
    <w:p w14:paraId="41D62C74" w14:textId="2B098736" w:rsidR="001033A2" w:rsidRDefault="000A502E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ł</w:t>
      </w:r>
      <w:r w:rsidR="00A82E92" w:rsidRPr="007B36F1">
        <w:rPr>
          <w:rFonts w:cs="Times New Roman"/>
          <w:sz w:val="24"/>
          <w:szCs w:val="24"/>
        </w:rPr>
        <w:t>ańcuch dostaw</w:t>
      </w:r>
    </w:p>
    <w:p w14:paraId="2794F770" w14:textId="74D47CFC" w:rsidR="005D2A1C" w:rsidRPr="00233F9D" w:rsidRDefault="005D2A1C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233F9D">
        <w:rPr>
          <w:rFonts w:cs="Times New Roman"/>
          <w:sz w:val="24"/>
          <w:szCs w:val="24"/>
        </w:rPr>
        <w:t>minimalizacja zużycia surowców i wielkości odpadów poprodukcyjnych</w:t>
      </w:r>
    </w:p>
    <w:p w14:paraId="00C0DE4F" w14:textId="77897069" w:rsidR="005D2A1C" w:rsidRPr="00233F9D" w:rsidRDefault="005D2A1C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233F9D">
        <w:rPr>
          <w:rFonts w:cs="Times New Roman"/>
          <w:sz w:val="24"/>
          <w:szCs w:val="24"/>
        </w:rPr>
        <w:t>przetwarzanie i zagospodarowanie odpadów</w:t>
      </w:r>
    </w:p>
    <w:p w14:paraId="6EAA63E1" w14:textId="1A83E11B" w:rsidR="009B04C4" w:rsidRPr="00233F9D" w:rsidRDefault="009B04C4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233F9D">
        <w:rPr>
          <w:rFonts w:cs="Times New Roman"/>
          <w:sz w:val="24"/>
          <w:szCs w:val="24"/>
        </w:rPr>
        <w:t>odzysk i recykling materiałów polimerowych</w:t>
      </w:r>
    </w:p>
    <w:p w14:paraId="50743595" w14:textId="77777777" w:rsidR="001033A2" w:rsidRPr="007B36F1" w:rsidRDefault="001033A2" w:rsidP="001033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certyfikacje</w:t>
      </w:r>
    </w:p>
    <w:p w14:paraId="15387976" w14:textId="77777777" w:rsidR="00E051B9" w:rsidRPr="007B36F1" w:rsidRDefault="001033A2" w:rsidP="003B18A2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d</w:t>
      </w:r>
      <w:r w:rsidR="00AA51EE" w:rsidRPr="007B36F1">
        <w:rPr>
          <w:rFonts w:cs="Times New Roman"/>
          <w:sz w:val="24"/>
          <w:szCs w:val="24"/>
        </w:rPr>
        <w:t>yrektywy unijne</w:t>
      </w:r>
    </w:p>
    <w:p w14:paraId="32985FA9" w14:textId="77777777" w:rsidR="00E051B9" w:rsidRPr="007B36F1" w:rsidRDefault="001033A2" w:rsidP="003B18A2">
      <w:pPr>
        <w:spacing w:after="120" w:line="240" w:lineRule="auto"/>
        <w:jc w:val="both"/>
        <w:rPr>
          <w:rFonts w:cs="Times New Roman"/>
          <w:b/>
          <w:color w:val="2E3A8D"/>
          <w:sz w:val="24"/>
          <w:szCs w:val="24"/>
        </w:rPr>
      </w:pPr>
      <w:r w:rsidRPr="007B36F1">
        <w:rPr>
          <w:rFonts w:cs="Times New Roman"/>
          <w:b/>
          <w:color w:val="2E3A8D"/>
          <w:sz w:val="24"/>
          <w:szCs w:val="24"/>
        </w:rPr>
        <w:t>Innowacje i r</w:t>
      </w:r>
      <w:r w:rsidR="00C32656" w:rsidRPr="007B36F1">
        <w:rPr>
          <w:rFonts w:cs="Times New Roman"/>
          <w:b/>
          <w:color w:val="2E3A8D"/>
          <w:sz w:val="24"/>
          <w:szCs w:val="24"/>
        </w:rPr>
        <w:t>ozwiązania:</w:t>
      </w:r>
    </w:p>
    <w:p w14:paraId="77CC2626" w14:textId="77777777" w:rsidR="005D2A1C" w:rsidRDefault="001033A2" w:rsidP="001033A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m</w:t>
      </w:r>
      <w:r w:rsidR="00A851FF" w:rsidRPr="007B36F1">
        <w:rPr>
          <w:rFonts w:cs="Times New Roman"/>
          <w:sz w:val="24"/>
          <w:szCs w:val="24"/>
        </w:rPr>
        <w:t>ateriały opakowaniowe</w:t>
      </w:r>
      <w:r w:rsidR="00B90D0D" w:rsidRPr="007B36F1">
        <w:rPr>
          <w:rFonts w:cs="Times New Roman"/>
          <w:sz w:val="24"/>
          <w:szCs w:val="24"/>
        </w:rPr>
        <w:t xml:space="preserve"> </w:t>
      </w:r>
    </w:p>
    <w:p w14:paraId="1A9AAE4A" w14:textId="60DD7620" w:rsidR="00A851FF" w:rsidRPr="00233F9D" w:rsidRDefault="005D2A1C" w:rsidP="001033A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233F9D">
        <w:rPr>
          <w:rFonts w:cs="Times New Roman"/>
          <w:sz w:val="24"/>
          <w:szCs w:val="24"/>
        </w:rPr>
        <w:t xml:space="preserve">materiały </w:t>
      </w:r>
      <w:r w:rsidR="00B90D0D" w:rsidRPr="00233F9D">
        <w:rPr>
          <w:rFonts w:cs="Times New Roman"/>
          <w:sz w:val="24"/>
          <w:szCs w:val="24"/>
        </w:rPr>
        <w:t xml:space="preserve">kompozytowe </w:t>
      </w:r>
    </w:p>
    <w:p w14:paraId="3B1D02D5" w14:textId="77777777" w:rsidR="001033A2" w:rsidRPr="007B36F1" w:rsidRDefault="001033A2" w:rsidP="001033A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opakowania z papieru i tektury</w:t>
      </w:r>
    </w:p>
    <w:p w14:paraId="630276D3" w14:textId="77777777" w:rsidR="001033A2" w:rsidRPr="007B36F1" w:rsidRDefault="001033A2" w:rsidP="001033A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opakowania foliowe</w:t>
      </w:r>
    </w:p>
    <w:p w14:paraId="7095677F" w14:textId="77777777" w:rsidR="001033A2" w:rsidRPr="007B36F1" w:rsidRDefault="001033A2" w:rsidP="001033A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funkcjonalne i inteligentne opakowania żywności i roślin</w:t>
      </w:r>
    </w:p>
    <w:p w14:paraId="2EB07417" w14:textId="77777777" w:rsidR="00AA51EE" w:rsidRPr="007B36F1" w:rsidRDefault="001033A2" w:rsidP="001033A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o</w:t>
      </w:r>
      <w:r w:rsidR="00AA51EE" w:rsidRPr="007B36F1">
        <w:rPr>
          <w:rFonts w:cs="Times New Roman"/>
          <w:sz w:val="24"/>
          <w:szCs w:val="24"/>
        </w:rPr>
        <w:t>pakowania biodegradowalne</w:t>
      </w:r>
      <w:r w:rsidRPr="007B36F1">
        <w:rPr>
          <w:rFonts w:cs="Times New Roman"/>
          <w:sz w:val="24"/>
          <w:szCs w:val="24"/>
        </w:rPr>
        <w:t xml:space="preserve"> i</w:t>
      </w:r>
      <w:r w:rsidR="00AA51EE" w:rsidRPr="007B36F1">
        <w:rPr>
          <w:rFonts w:cs="Times New Roman"/>
          <w:sz w:val="24"/>
          <w:szCs w:val="24"/>
        </w:rPr>
        <w:t xml:space="preserve"> </w:t>
      </w:r>
      <w:proofErr w:type="spellStart"/>
      <w:r w:rsidR="00AA51EE" w:rsidRPr="007B36F1">
        <w:rPr>
          <w:rFonts w:cs="Times New Roman"/>
          <w:sz w:val="24"/>
          <w:szCs w:val="24"/>
        </w:rPr>
        <w:t>kompostowalne</w:t>
      </w:r>
      <w:proofErr w:type="spellEnd"/>
    </w:p>
    <w:p w14:paraId="4262610F" w14:textId="77777777" w:rsidR="00B22A5B" w:rsidRPr="007B36F1" w:rsidRDefault="00C70C5A" w:rsidP="00CA683C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r</w:t>
      </w:r>
      <w:r w:rsidR="00292A43" w:rsidRPr="007B36F1">
        <w:rPr>
          <w:rFonts w:cs="Times New Roman"/>
          <w:sz w:val="24"/>
          <w:szCs w:val="24"/>
        </w:rPr>
        <w:t>ecykling</w:t>
      </w:r>
      <w:r w:rsidRPr="007B36F1">
        <w:rPr>
          <w:rFonts w:cs="Times New Roman"/>
          <w:sz w:val="24"/>
          <w:szCs w:val="24"/>
        </w:rPr>
        <w:t xml:space="preserve"> i przetwórstwo opakowań</w:t>
      </w:r>
    </w:p>
    <w:p w14:paraId="7A3072E0" w14:textId="1ED38DC4" w:rsidR="00B6657A" w:rsidRPr="005947C4" w:rsidRDefault="00BA4097" w:rsidP="00FB1131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odpady mechaniczne</w:t>
      </w:r>
    </w:p>
    <w:p w14:paraId="24ECE3EE" w14:textId="77777777" w:rsidR="00B6657A" w:rsidRPr="007B36F1" w:rsidRDefault="00B6657A" w:rsidP="00FB1131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p w14:paraId="40BF339E" w14:textId="77777777" w:rsidR="00554815" w:rsidRPr="007B36F1" w:rsidRDefault="007A03EE" w:rsidP="00FB1131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  <w:r w:rsidRPr="007B36F1">
        <w:rPr>
          <w:rFonts w:cs="Times New Roman"/>
          <w:b/>
          <w:sz w:val="24"/>
          <w:szCs w:val="24"/>
        </w:rPr>
        <w:t>Język konferencji: polski</w:t>
      </w:r>
    </w:p>
    <w:p w14:paraId="022C14FC" w14:textId="34F259FE" w:rsidR="00A8289A" w:rsidRDefault="00A8289A" w:rsidP="00A8289A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p w14:paraId="5073422F" w14:textId="70BEE7E7" w:rsidR="005947C4" w:rsidRDefault="005947C4" w:rsidP="00A8289A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p w14:paraId="66D37929" w14:textId="77777777" w:rsidR="005947C4" w:rsidRPr="007B36F1" w:rsidRDefault="005947C4" w:rsidP="00A8289A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p w14:paraId="702DC031" w14:textId="4A22AE5F" w:rsidR="00A8289A" w:rsidRDefault="00A8289A" w:rsidP="00A828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="Times New Roman"/>
          <w:b/>
          <w:color w:val="70AD47" w:themeColor="accent6"/>
          <w:sz w:val="24"/>
          <w:szCs w:val="24"/>
        </w:rPr>
      </w:pPr>
      <w:r w:rsidRPr="007B36F1">
        <w:rPr>
          <w:rFonts w:cs="Times New Roman"/>
          <w:b/>
          <w:color w:val="70AD47" w:themeColor="accent6"/>
          <w:sz w:val="24"/>
          <w:szCs w:val="24"/>
        </w:rPr>
        <w:t>Publikacja w języku angielskim</w:t>
      </w:r>
    </w:p>
    <w:p w14:paraId="14B2B887" w14:textId="3B942DF4" w:rsidR="005947C4" w:rsidRPr="005947C4" w:rsidRDefault="005947C4" w:rsidP="005947C4">
      <w:pPr>
        <w:spacing w:after="120" w:line="240" w:lineRule="auto"/>
        <w:ind w:right="-426"/>
        <w:rPr>
          <w:rFonts w:cs="Times New Roman"/>
          <w:sz w:val="24"/>
          <w:szCs w:val="24"/>
        </w:rPr>
      </w:pPr>
      <w:proofErr w:type="spellStart"/>
      <w:r w:rsidRPr="005947C4">
        <w:rPr>
          <w:rFonts w:cs="Times New Roman"/>
          <w:sz w:val="24"/>
          <w:szCs w:val="24"/>
          <w:lang w:val="en-US"/>
        </w:rPr>
        <w:t>Fibres</w:t>
      </w:r>
      <w:proofErr w:type="spellEnd"/>
      <w:r w:rsidRPr="005947C4">
        <w:rPr>
          <w:rFonts w:cs="Times New Roman"/>
          <w:sz w:val="24"/>
          <w:szCs w:val="24"/>
          <w:lang w:val="en-US"/>
        </w:rPr>
        <w:t xml:space="preserve"> &amp; Textiles in Eastern Europe </w:t>
      </w:r>
      <w:r w:rsidRPr="005947C4">
        <w:rPr>
          <w:rFonts w:cs="Times New Roman"/>
          <w:b/>
          <w:sz w:val="24"/>
          <w:szCs w:val="24"/>
          <w:lang w:val="en-US"/>
        </w:rPr>
        <w:t xml:space="preserve">(40 pkt </w:t>
      </w:r>
      <w:proofErr w:type="spellStart"/>
      <w:r w:rsidRPr="005947C4">
        <w:rPr>
          <w:rFonts w:cs="Times New Roman"/>
          <w:b/>
          <w:sz w:val="24"/>
          <w:szCs w:val="24"/>
        </w:rPr>
        <w:t>MNiSW</w:t>
      </w:r>
      <w:proofErr w:type="spellEnd"/>
      <w:r w:rsidRPr="005947C4">
        <w:rPr>
          <w:rFonts w:cs="Times New Roman"/>
          <w:b/>
          <w:sz w:val="24"/>
          <w:szCs w:val="24"/>
        </w:rPr>
        <w:t>)</w:t>
      </w:r>
      <w:r>
        <w:rPr>
          <w:rFonts w:cs="Times New Roman"/>
          <w:sz w:val="24"/>
          <w:szCs w:val="24"/>
        </w:rPr>
        <w:br/>
      </w:r>
      <w:r w:rsidRPr="005947C4">
        <w:rPr>
          <w:rFonts w:cs="Times New Roman"/>
          <w:sz w:val="24"/>
          <w:szCs w:val="24"/>
        </w:rPr>
        <w:t xml:space="preserve">Szczegółowe informacje dla autorów: </w:t>
      </w:r>
      <w:hyperlink r:id="rId10" w:history="1">
        <w:r w:rsidRPr="005947C4">
          <w:rPr>
            <w:rStyle w:val="Hipercze"/>
            <w:rFonts w:cs="Times New Roman"/>
            <w:sz w:val="24"/>
            <w:szCs w:val="24"/>
          </w:rPr>
          <w:t>www.fibtex.lodz.pl/</w:t>
        </w:r>
      </w:hyperlink>
    </w:p>
    <w:p w14:paraId="3C607CF6" w14:textId="77777777" w:rsidR="00764B5C" w:rsidRDefault="00764B5C" w:rsidP="00764B5C">
      <w:pPr>
        <w:spacing w:after="120" w:line="240" w:lineRule="auto"/>
        <w:ind w:right="-426"/>
        <w:jc w:val="both"/>
        <w:rPr>
          <w:rFonts w:cs="Times New Roman"/>
          <w:b/>
          <w:color w:val="70AD47" w:themeColor="accent6"/>
          <w:sz w:val="24"/>
          <w:szCs w:val="24"/>
        </w:rPr>
      </w:pPr>
    </w:p>
    <w:p w14:paraId="6D4AB2CD" w14:textId="6C3EB2DB" w:rsidR="0067191A" w:rsidRPr="00EF6C4E" w:rsidRDefault="00A8289A" w:rsidP="00764B5C">
      <w:pPr>
        <w:spacing w:after="120" w:line="240" w:lineRule="auto"/>
        <w:ind w:right="-426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Po wniesieniu dodatkowej opłaty według cennika czasopisma, pod warunkiem spełnienia wymogów wydawniczych oraz otrzymania pozytywnych recenzji</w:t>
      </w:r>
      <w:r w:rsidR="00B6657A">
        <w:rPr>
          <w:rFonts w:cs="Times New Roman"/>
          <w:sz w:val="24"/>
          <w:szCs w:val="24"/>
        </w:rPr>
        <w:t>. A</w:t>
      </w:r>
      <w:r w:rsidRPr="007B36F1">
        <w:rPr>
          <w:rFonts w:cs="Times New Roman"/>
          <w:sz w:val="24"/>
          <w:szCs w:val="24"/>
        </w:rPr>
        <w:t>rtykuły zgodne z profilem tematycznym czasopisma, będą publikowane w ramach szybkiej ścieżki</w:t>
      </w:r>
      <w:r w:rsidR="005947C4">
        <w:rPr>
          <w:rFonts w:cs="Times New Roman"/>
          <w:sz w:val="24"/>
          <w:szCs w:val="24"/>
        </w:rPr>
        <w:t>.</w:t>
      </w:r>
    </w:p>
    <w:p w14:paraId="65BA43CD" w14:textId="77777777" w:rsidR="0067191A" w:rsidRPr="007B36F1" w:rsidRDefault="0067191A" w:rsidP="0065768A">
      <w:pPr>
        <w:pStyle w:val="Akapitzlist"/>
        <w:spacing w:after="120" w:line="240" w:lineRule="auto"/>
        <w:jc w:val="both"/>
        <w:rPr>
          <w:rFonts w:cs="Times New Roman"/>
          <w:b/>
          <w:color w:val="002E8A"/>
          <w:sz w:val="24"/>
          <w:szCs w:val="24"/>
        </w:rPr>
      </w:pPr>
    </w:p>
    <w:p w14:paraId="35C80DE1" w14:textId="77777777" w:rsidR="00A8289A" w:rsidRPr="007B36F1" w:rsidRDefault="00A8289A" w:rsidP="00A8289A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cs="Times New Roman"/>
          <w:b/>
          <w:color w:val="70AD47" w:themeColor="accent6"/>
          <w:sz w:val="24"/>
          <w:szCs w:val="24"/>
        </w:rPr>
      </w:pPr>
      <w:r w:rsidRPr="007B36F1">
        <w:rPr>
          <w:rFonts w:cs="Times New Roman"/>
          <w:b/>
          <w:color w:val="70AD47" w:themeColor="accent6"/>
          <w:sz w:val="24"/>
          <w:szCs w:val="24"/>
        </w:rPr>
        <w:t>Harmonogram i koszt udziału w konferencji</w:t>
      </w:r>
    </w:p>
    <w:p w14:paraId="56C9349F" w14:textId="77777777" w:rsidR="0065768A" w:rsidRPr="007B36F1" w:rsidRDefault="0065768A" w:rsidP="00A8289A">
      <w:pPr>
        <w:spacing w:after="120" w:line="240" w:lineRule="auto"/>
        <w:ind w:left="-284" w:right="-426"/>
        <w:jc w:val="both"/>
        <w:rPr>
          <w:rFonts w:cs="Times New Roman"/>
          <w:sz w:val="24"/>
          <w:szCs w:val="24"/>
        </w:rPr>
      </w:pPr>
    </w:p>
    <w:p w14:paraId="7FF4A754" w14:textId="1EBA3425" w:rsidR="00A8289A" w:rsidRPr="007B36F1" w:rsidRDefault="00A8289A" w:rsidP="00A8289A">
      <w:pPr>
        <w:spacing w:after="120" w:line="240" w:lineRule="auto"/>
        <w:ind w:left="-284" w:right="-426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 xml:space="preserve">Prosimy o przesyłanie formularza zgłoszeniowego wraz z tytułem referatu, abstraktem i słowami kluczowymi (język polski i angielski) na adres e-mail: </w:t>
      </w:r>
      <w:r w:rsidR="00D0581B" w:rsidRPr="007B36F1">
        <w:rPr>
          <w:rFonts w:cs="Times New Roman"/>
          <w:b/>
          <w:bCs/>
          <w:color w:val="70AD47" w:themeColor="accent6"/>
          <w:sz w:val="24"/>
          <w:szCs w:val="24"/>
        </w:rPr>
        <w:t>kdruzdz@ibwch.lodz.pl</w:t>
      </w:r>
    </w:p>
    <w:p w14:paraId="67C42D1C" w14:textId="77777777" w:rsidR="00A8289A" w:rsidRPr="007B36F1" w:rsidRDefault="00A8289A" w:rsidP="00A8289A">
      <w:pPr>
        <w:spacing w:after="120" w:line="240" w:lineRule="auto"/>
        <w:jc w:val="center"/>
        <w:rPr>
          <w:rFonts w:cs="Times New Roman"/>
          <w:sz w:val="24"/>
          <w:szCs w:val="24"/>
        </w:rPr>
      </w:pPr>
    </w:p>
    <w:p w14:paraId="6C038514" w14:textId="77777777" w:rsidR="00A8289A" w:rsidRPr="007B36F1" w:rsidRDefault="00A8289A" w:rsidP="00A8289A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Opłatę konferencyjną prosimy przesyłać na poniższy rachunek bankowy:</w:t>
      </w:r>
    </w:p>
    <w:p w14:paraId="5E153E69" w14:textId="77777777" w:rsidR="00A8289A" w:rsidRPr="007B36F1" w:rsidRDefault="00A8289A" w:rsidP="00A8289A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7B36F1">
        <w:rPr>
          <w:rFonts w:cs="Times New Roman"/>
          <w:b/>
          <w:sz w:val="24"/>
          <w:szCs w:val="24"/>
        </w:rPr>
        <w:t>PEKAO S.A. VI O/Łódź, 23 1240 3031 1111 0000 3426 6342</w:t>
      </w:r>
    </w:p>
    <w:p w14:paraId="023D6330" w14:textId="231C20F6" w:rsidR="00FD0982" w:rsidRPr="007B36F1" w:rsidRDefault="00A8289A" w:rsidP="007B36F1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 xml:space="preserve">W tytule przelewu należy wpisać: </w:t>
      </w:r>
      <w:r w:rsidR="00A87525" w:rsidRPr="007B36F1">
        <w:rPr>
          <w:rFonts w:cs="Times New Roman"/>
          <w:b/>
          <w:sz w:val="24"/>
          <w:szCs w:val="24"/>
        </w:rPr>
        <w:t xml:space="preserve">GOZ </w:t>
      </w:r>
      <w:r w:rsidR="00D0581B" w:rsidRPr="007B36F1">
        <w:rPr>
          <w:rFonts w:cs="Times New Roman"/>
          <w:b/>
          <w:sz w:val="24"/>
          <w:szCs w:val="24"/>
        </w:rPr>
        <w:t xml:space="preserve">II - </w:t>
      </w:r>
      <w:r w:rsidRPr="007B36F1">
        <w:rPr>
          <w:rFonts w:cs="Times New Roman"/>
          <w:b/>
          <w:sz w:val="24"/>
          <w:szCs w:val="24"/>
        </w:rPr>
        <w:t>Imię i Nazwisko Uczestnika</w:t>
      </w:r>
    </w:p>
    <w:p w14:paraId="0812E103" w14:textId="77777777" w:rsidR="0065768A" w:rsidRPr="007B36F1" w:rsidRDefault="0065768A" w:rsidP="00A8289A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p w14:paraId="574EE8E3" w14:textId="77777777" w:rsidR="00A8289A" w:rsidRPr="007B36F1" w:rsidRDefault="00A8289A" w:rsidP="00A8289A">
      <w:pPr>
        <w:spacing w:after="120" w:line="240" w:lineRule="auto"/>
        <w:jc w:val="both"/>
        <w:rPr>
          <w:rFonts w:cs="Times New Roman"/>
          <w:b/>
          <w:color w:val="2E3A8D"/>
          <w:sz w:val="24"/>
          <w:szCs w:val="24"/>
        </w:rPr>
      </w:pPr>
      <w:r w:rsidRPr="007B36F1">
        <w:rPr>
          <w:rFonts w:cs="Times New Roman"/>
          <w:b/>
          <w:color w:val="2E3A8D"/>
          <w:sz w:val="24"/>
          <w:szCs w:val="24"/>
        </w:rPr>
        <w:t>Ważne terminy:</w:t>
      </w:r>
    </w:p>
    <w:p w14:paraId="0949312A" w14:textId="0FD00E48" w:rsidR="001151CB" w:rsidRPr="007B36F1" w:rsidRDefault="007B36F1" w:rsidP="001151CB">
      <w:pPr>
        <w:pStyle w:val="NormalnyWeb"/>
        <w:rPr>
          <w:rFonts w:asciiTheme="minorHAnsi" w:hAnsiTheme="minorHAnsi"/>
        </w:rPr>
      </w:pPr>
      <w:r w:rsidRPr="007B36F1">
        <w:rPr>
          <w:rFonts w:asciiTheme="minorHAnsi" w:hAnsiTheme="minorHAnsi"/>
        </w:rPr>
        <w:t>7</w:t>
      </w:r>
      <w:r w:rsidR="001151CB" w:rsidRPr="007B36F1">
        <w:rPr>
          <w:rFonts w:asciiTheme="minorHAnsi" w:hAnsiTheme="minorHAnsi"/>
        </w:rPr>
        <w:t xml:space="preserve"> </w:t>
      </w:r>
      <w:r w:rsidR="00521E85" w:rsidRPr="007B36F1">
        <w:rPr>
          <w:rFonts w:asciiTheme="minorHAnsi" w:hAnsiTheme="minorHAnsi"/>
        </w:rPr>
        <w:t xml:space="preserve">października </w:t>
      </w:r>
      <w:r w:rsidR="001151CB" w:rsidRPr="007B36F1">
        <w:rPr>
          <w:rFonts w:asciiTheme="minorHAnsi" w:hAnsiTheme="minorHAnsi"/>
        </w:rPr>
        <w:t>- termin nadsyłania zgłoszeń</w:t>
      </w:r>
    </w:p>
    <w:p w14:paraId="57EFC13E" w14:textId="43341603" w:rsidR="001151CB" w:rsidRPr="007B36F1" w:rsidRDefault="00937C00" w:rsidP="001151CB">
      <w:pPr>
        <w:pStyle w:val="NormalnyWeb"/>
        <w:rPr>
          <w:rFonts w:asciiTheme="minorHAnsi" w:hAnsiTheme="minorHAnsi"/>
        </w:rPr>
      </w:pPr>
      <w:r w:rsidRPr="007B36F1">
        <w:rPr>
          <w:rFonts w:asciiTheme="minorHAnsi" w:hAnsiTheme="minorHAnsi"/>
        </w:rPr>
        <w:t>11</w:t>
      </w:r>
      <w:r w:rsidR="001151CB" w:rsidRPr="007B36F1">
        <w:rPr>
          <w:rFonts w:asciiTheme="minorHAnsi" w:hAnsiTheme="minorHAnsi"/>
        </w:rPr>
        <w:t xml:space="preserve"> </w:t>
      </w:r>
      <w:r w:rsidR="00521E85" w:rsidRPr="007B36F1">
        <w:rPr>
          <w:rFonts w:asciiTheme="minorHAnsi" w:hAnsiTheme="minorHAnsi"/>
        </w:rPr>
        <w:t xml:space="preserve">października </w:t>
      </w:r>
      <w:r w:rsidR="001151CB" w:rsidRPr="007B36F1">
        <w:rPr>
          <w:rFonts w:asciiTheme="minorHAnsi" w:hAnsiTheme="minorHAnsi"/>
        </w:rPr>
        <w:t>- termin akceptacji abstraktów</w:t>
      </w:r>
    </w:p>
    <w:p w14:paraId="23D54F14" w14:textId="0911ADEA" w:rsidR="001151CB" w:rsidRPr="007B36F1" w:rsidRDefault="00521E85" w:rsidP="001151CB">
      <w:pPr>
        <w:pStyle w:val="NormalnyWeb"/>
        <w:rPr>
          <w:rFonts w:asciiTheme="minorHAnsi" w:hAnsiTheme="minorHAnsi"/>
        </w:rPr>
      </w:pPr>
      <w:r w:rsidRPr="007B36F1">
        <w:rPr>
          <w:rFonts w:asciiTheme="minorHAnsi" w:hAnsiTheme="minorHAnsi"/>
        </w:rPr>
        <w:t>1</w:t>
      </w:r>
      <w:r w:rsidR="00937C00" w:rsidRPr="007B36F1">
        <w:rPr>
          <w:rFonts w:asciiTheme="minorHAnsi" w:hAnsiTheme="minorHAnsi"/>
        </w:rPr>
        <w:t>8</w:t>
      </w:r>
      <w:r w:rsidRPr="007B36F1">
        <w:rPr>
          <w:rFonts w:asciiTheme="minorHAnsi" w:hAnsiTheme="minorHAnsi"/>
        </w:rPr>
        <w:t xml:space="preserve"> października</w:t>
      </w:r>
      <w:r w:rsidR="001151CB" w:rsidRPr="007B36F1">
        <w:rPr>
          <w:rFonts w:asciiTheme="minorHAnsi" w:hAnsiTheme="minorHAnsi"/>
        </w:rPr>
        <w:t xml:space="preserve"> - termin wnoszenia opłaty konferencyjnej</w:t>
      </w:r>
    </w:p>
    <w:p w14:paraId="494766CA" w14:textId="7D3F4FE6" w:rsidR="001151CB" w:rsidRPr="007B36F1" w:rsidRDefault="00937C00" w:rsidP="001151CB">
      <w:pPr>
        <w:pStyle w:val="NormalnyWeb"/>
        <w:rPr>
          <w:rFonts w:asciiTheme="minorHAnsi" w:hAnsiTheme="minorHAnsi"/>
        </w:rPr>
      </w:pPr>
      <w:r w:rsidRPr="007B36F1">
        <w:rPr>
          <w:rFonts w:asciiTheme="minorHAnsi" w:hAnsiTheme="minorHAnsi"/>
        </w:rPr>
        <w:t>30</w:t>
      </w:r>
      <w:r w:rsidR="001151CB" w:rsidRPr="007B36F1">
        <w:rPr>
          <w:rFonts w:asciiTheme="minorHAnsi" w:hAnsiTheme="minorHAnsi"/>
        </w:rPr>
        <w:t xml:space="preserve"> października –  termin nadsyłania pełnych tekstów artykułów</w:t>
      </w:r>
    </w:p>
    <w:p w14:paraId="711997FA" w14:textId="51D35D37" w:rsidR="00A3686C" w:rsidRPr="007B36F1" w:rsidRDefault="00937C00" w:rsidP="007B36F1">
      <w:pPr>
        <w:pStyle w:val="NormalnyWeb"/>
        <w:jc w:val="both"/>
        <w:rPr>
          <w:rFonts w:asciiTheme="minorHAnsi" w:hAnsiTheme="minorHAnsi"/>
          <w:color w:val="70AD47" w:themeColor="accent6"/>
        </w:rPr>
      </w:pPr>
      <w:r w:rsidRPr="007B36F1">
        <w:rPr>
          <w:rFonts w:asciiTheme="minorHAnsi" w:hAnsiTheme="minorHAnsi"/>
        </w:rPr>
        <w:t>6-7 listopada</w:t>
      </w:r>
      <w:r w:rsidR="001151CB" w:rsidRPr="007B36F1">
        <w:rPr>
          <w:rFonts w:asciiTheme="minorHAnsi" w:hAnsiTheme="minorHAnsi"/>
        </w:rPr>
        <w:t xml:space="preserve"> - </w:t>
      </w:r>
      <w:r w:rsidR="001151CB" w:rsidRPr="007B36F1">
        <w:rPr>
          <w:rFonts w:asciiTheme="minorHAnsi" w:hAnsiTheme="minorHAnsi"/>
          <w:b/>
          <w:bCs/>
          <w:color w:val="70AD47" w:themeColor="accent6"/>
        </w:rPr>
        <w:t>I</w:t>
      </w:r>
      <w:r w:rsidRPr="007B36F1">
        <w:rPr>
          <w:rFonts w:asciiTheme="minorHAnsi" w:hAnsiTheme="minorHAnsi"/>
          <w:b/>
          <w:bCs/>
          <w:color w:val="70AD47" w:themeColor="accent6"/>
        </w:rPr>
        <w:t>I</w:t>
      </w:r>
      <w:r w:rsidR="001151CB" w:rsidRPr="007B36F1">
        <w:rPr>
          <w:rFonts w:asciiTheme="minorHAnsi" w:hAnsiTheme="minorHAnsi"/>
          <w:b/>
          <w:bCs/>
          <w:color w:val="70AD47" w:themeColor="accent6"/>
        </w:rPr>
        <w:t xml:space="preserve"> Ogólnopolska Konferencja Naukowa Gospodarka o Obiegu Zamkniętym</w:t>
      </w:r>
    </w:p>
    <w:p w14:paraId="7DE856AA" w14:textId="30D4AA03" w:rsidR="00A8289A" w:rsidRPr="007B36F1" w:rsidRDefault="00A8289A" w:rsidP="00A8289A">
      <w:pPr>
        <w:spacing w:after="120" w:line="240" w:lineRule="auto"/>
        <w:jc w:val="both"/>
        <w:rPr>
          <w:rFonts w:cs="Times New Roman"/>
          <w:b/>
          <w:color w:val="2E3A8D"/>
          <w:sz w:val="24"/>
          <w:szCs w:val="24"/>
        </w:rPr>
      </w:pPr>
      <w:r w:rsidRPr="007B36F1">
        <w:rPr>
          <w:rFonts w:cs="Times New Roman"/>
          <w:b/>
          <w:color w:val="2E3A8D"/>
          <w:sz w:val="24"/>
          <w:szCs w:val="24"/>
        </w:rPr>
        <w:t xml:space="preserve">Opłata konferencyjna I – </w:t>
      </w:r>
      <w:r w:rsidR="007B36F1" w:rsidRPr="007B36F1">
        <w:rPr>
          <w:rFonts w:cs="Times New Roman"/>
          <w:b/>
          <w:color w:val="2E3A8D"/>
          <w:sz w:val="24"/>
          <w:szCs w:val="24"/>
        </w:rPr>
        <w:t>8</w:t>
      </w:r>
      <w:r w:rsidRPr="007B36F1">
        <w:rPr>
          <w:rFonts w:cs="Times New Roman"/>
          <w:b/>
          <w:color w:val="2E3A8D"/>
          <w:sz w:val="24"/>
          <w:szCs w:val="24"/>
        </w:rPr>
        <w:t>00 zł  – obejmuje:</w:t>
      </w:r>
    </w:p>
    <w:p w14:paraId="5551B9E8" w14:textId="77777777" w:rsidR="00A8289A" w:rsidRPr="007B36F1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 xml:space="preserve">wystąpienie na konferencji lub udział w sesji </w:t>
      </w:r>
      <w:proofErr w:type="spellStart"/>
      <w:r w:rsidRPr="007B36F1">
        <w:rPr>
          <w:rFonts w:cs="Times New Roman"/>
          <w:sz w:val="24"/>
          <w:szCs w:val="24"/>
        </w:rPr>
        <w:t>posterowej</w:t>
      </w:r>
      <w:proofErr w:type="spellEnd"/>
      <w:r w:rsidRPr="007B36F1">
        <w:rPr>
          <w:rFonts w:cs="Times New Roman"/>
          <w:sz w:val="24"/>
          <w:szCs w:val="24"/>
        </w:rPr>
        <w:t>,</w:t>
      </w:r>
    </w:p>
    <w:p w14:paraId="69823C0C" w14:textId="77777777" w:rsidR="00A8289A" w:rsidRPr="007B36F1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materiały konferencyjne,</w:t>
      </w:r>
    </w:p>
    <w:p w14:paraId="44469291" w14:textId="2B6BABA0" w:rsidR="00A8289A" w:rsidRPr="007B36F1" w:rsidRDefault="00A8289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przerwy kawowe</w:t>
      </w:r>
      <w:r w:rsidR="003D7601" w:rsidRPr="007B36F1">
        <w:rPr>
          <w:rFonts w:cs="Times New Roman"/>
          <w:sz w:val="24"/>
          <w:szCs w:val="24"/>
        </w:rPr>
        <w:t xml:space="preserve">, </w:t>
      </w:r>
      <w:r w:rsidRPr="007B36F1">
        <w:rPr>
          <w:rFonts w:cs="Times New Roman"/>
          <w:sz w:val="24"/>
          <w:szCs w:val="24"/>
        </w:rPr>
        <w:t>obiad</w:t>
      </w:r>
      <w:r w:rsidR="003D7601" w:rsidRPr="007B36F1">
        <w:rPr>
          <w:rFonts w:cs="Times New Roman"/>
          <w:sz w:val="24"/>
          <w:szCs w:val="24"/>
        </w:rPr>
        <w:t>y,</w:t>
      </w:r>
    </w:p>
    <w:p w14:paraId="5CA3E866" w14:textId="18DBBC40" w:rsidR="003D7601" w:rsidRDefault="003D7601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uroczyst</w:t>
      </w:r>
      <w:r w:rsidR="00B6657A">
        <w:rPr>
          <w:rFonts w:cs="Times New Roman"/>
          <w:sz w:val="24"/>
          <w:szCs w:val="24"/>
        </w:rPr>
        <w:t>ą</w:t>
      </w:r>
      <w:r w:rsidRPr="007B36F1">
        <w:rPr>
          <w:rFonts w:cs="Times New Roman"/>
          <w:sz w:val="24"/>
          <w:szCs w:val="24"/>
        </w:rPr>
        <w:t xml:space="preserve"> kolację w pierwszym dniu konferencji,</w:t>
      </w:r>
    </w:p>
    <w:p w14:paraId="40D1A26A" w14:textId="549106C0" w:rsidR="00B6657A" w:rsidRDefault="00B6657A" w:rsidP="00A8289A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wycieczkę po Łodzi.</w:t>
      </w:r>
    </w:p>
    <w:p w14:paraId="5ABCD7A1" w14:textId="3D800824" w:rsidR="00233F9D" w:rsidRPr="00233F9D" w:rsidRDefault="00233F9D" w:rsidP="00233F9D">
      <w:pPr>
        <w:spacing w:after="120" w:line="240" w:lineRule="auto"/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233F9D">
        <w:rPr>
          <w:rFonts w:cs="Times New Roman"/>
          <w:b/>
          <w:bCs/>
          <w:color w:val="FF0000"/>
          <w:sz w:val="24"/>
          <w:szCs w:val="24"/>
        </w:rPr>
        <w:t>Wysokość opłaty konferencyjnej dla doktorantów – 600 zł.</w:t>
      </w:r>
    </w:p>
    <w:p w14:paraId="4EAB8A9B" w14:textId="527E1464" w:rsidR="003D7601" w:rsidRDefault="003D7601" w:rsidP="00B6657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49E12C60" w14:textId="5E7035DD" w:rsidR="00B6657A" w:rsidRDefault="00B6657A" w:rsidP="00B6657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11CF5B12" w14:textId="67181BF3" w:rsidR="00B6657A" w:rsidRDefault="00B6657A" w:rsidP="00B6657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22F52C38" w14:textId="32AE2C3F" w:rsidR="00EF6C4E" w:rsidRDefault="00EF6C4E" w:rsidP="00B6657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5EE446CD" w14:textId="77777777" w:rsidR="00EF6C4E" w:rsidRPr="00B6657A" w:rsidRDefault="00EF6C4E" w:rsidP="00B6657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0CAC09CE" w14:textId="12F9C277" w:rsidR="0042723C" w:rsidRPr="007B36F1" w:rsidRDefault="0042723C" w:rsidP="0042723C">
      <w:pPr>
        <w:spacing w:after="120" w:line="240" w:lineRule="auto"/>
        <w:jc w:val="both"/>
        <w:rPr>
          <w:rFonts w:cs="Times New Roman"/>
          <w:b/>
          <w:color w:val="2E3A8D"/>
          <w:sz w:val="24"/>
          <w:szCs w:val="24"/>
        </w:rPr>
      </w:pPr>
      <w:r w:rsidRPr="007B36F1">
        <w:rPr>
          <w:rFonts w:cs="Times New Roman"/>
          <w:b/>
          <w:color w:val="2E3A8D"/>
          <w:sz w:val="24"/>
          <w:szCs w:val="24"/>
        </w:rPr>
        <w:t xml:space="preserve">Opłata konferencyjna II – </w:t>
      </w:r>
      <w:r w:rsidR="00B6657A">
        <w:rPr>
          <w:rFonts w:cs="Times New Roman"/>
          <w:b/>
          <w:color w:val="2E3A8D"/>
          <w:sz w:val="24"/>
          <w:szCs w:val="24"/>
        </w:rPr>
        <w:t>75</w:t>
      </w:r>
      <w:r w:rsidR="00915412" w:rsidRPr="007B36F1">
        <w:rPr>
          <w:rFonts w:cs="Times New Roman"/>
          <w:b/>
          <w:color w:val="2E3A8D"/>
          <w:sz w:val="24"/>
          <w:szCs w:val="24"/>
        </w:rPr>
        <w:t xml:space="preserve"> </w:t>
      </w:r>
      <w:r w:rsidRPr="007B36F1">
        <w:rPr>
          <w:rFonts w:cs="Times New Roman"/>
          <w:b/>
          <w:color w:val="2E3A8D"/>
          <w:sz w:val="24"/>
          <w:szCs w:val="24"/>
        </w:rPr>
        <w:t>zł – obejmuje:</w:t>
      </w:r>
    </w:p>
    <w:p w14:paraId="3F00E1F4" w14:textId="07CDD3E4" w:rsidR="0042723C" w:rsidRPr="007B36F1" w:rsidRDefault="0042723C" w:rsidP="0042723C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udział bierny w konferencji</w:t>
      </w:r>
      <w:r w:rsidR="00B6657A">
        <w:rPr>
          <w:rFonts w:cs="Times New Roman"/>
          <w:sz w:val="24"/>
          <w:szCs w:val="24"/>
        </w:rPr>
        <w:t>,</w:t>
      </w:r>
    </w:p>
    <w:p w14:paraId="1FE9175F" w14:textId="7E469616" w:rsidR="0042723C" w:rsidRPr="007B36F1" w:rsidRDefault="0042723C" w:rsidP="0042723C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materiały konferencyjne</w:t>
      </w:r>
      <w:r w:rsidR="00B6657A">
        <w:rPr>
          <w:rFonts w:cs="Times New Roman"/>
          <w:sz w:val="24"/>
          <w:szCs w:val="24"/>
        </w:rPr>
        <w:t>,</w:t>
      </w:r>
    </w:p>
    <w:p w14:paraId="4C326729" w14:textId="74F8B609" w:rsidR="0042723C" w:rsidRPr="007B36F1" w:rsidRDefault="0042723C" w:rsidP="0042723C">
      <w:pPr>
        <w:pStyle w:val="Akapitzlist"/>
        <w:numPr>
          <w:ilvl w:val="0"/>
          <w:numId w:val="27"/>
        </w:numPr>
        <w:spacing w:after="120" w:line="240" w:lineRule="auto"/>
        <w:ind w:left="1418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sz w:val="24"/>
          <w:szCs w:val="24"/>
        </w:rPr>
        <w:t>pr</w:t>
      </w:r>
      <w:r w:rsidR="000E25F8" w:rsidRPr="007B36F1">
        <w:rPr>
          <w:rFonts w:cs="Times New Roman"/>
          <w:sz w:val="24"/>
          <w:szCs w:val="24"/>
        </w:rPr>
        <w:t>zerwy kawowe oraz</w:t>
      </w:r>
      <w:r w:rsidRPr="007B36F1">
        <w:rPr>
          <w:rFonts w:cs="Times New Roman"/>
          <w:sz w:val="24"/>
          <w:szCs w:val="24"/>
        </w:rPr>
        <w:t xml:space="preserve"> obiad</w:t>
      </w:r>
      <w:r w:rsidR="00B6657A">
        <w:rPr>
          <w:rFonts w:cs="Times New Roman"/>
          <w:sz w:val="24"/>
          <w:szCs w:val="24"/>
        </w:rPr>
        <w:t>y.</w:t>
      </w:r>
    </w:p>
    <w:p w14:paraId="44AC6CF5" w14:textId="77777777" w:rsidR="00A8289A" w:rsidRPr="007B36F1" w:rsidRDefault="00A8289A" w:rsidP="00A8289A">
      <w:pPr>
        <w:pStyle w:val="Akapitzlist"/>
        <w:spacing w:after="120" w:line="240" w:lineRule="auto"/>
        <w:ind w:left="1440"/>
        <w:jc w:val="both"/>
        <w:rPr>
          <w:rFonts w:cs="Times New Roman"/>
          <w:sz w:val="24"/>
          <w:szCs w:val="24"/>
        </w:rPr>
      </w:pPr>
    </w:p>
    <w:p w14:paraId="25DCBD69" w14:textId="49109025" w:rsidR="00A8289A" w:rsidRDefault="00A8289A" w:rsidP="00A8289A">
      <w:pPr>
        <w:spacing w:after="120" w:line="240" w:lineRule="auto"/>
        <w:jc w:val="both"/>
        <w:rPr>
          <w:rFonts w:cs="Times New Roman"/>
          <w:i/>
          <w:sz w:val="24"/>
          <w:szCs w:val="24"/>
        </w:rPr>
      </w:pPr>
      <w:r w:rsidRPr="007B36F1">
        <w:rPr>
          <w:rFonts w:cs="Times New Roman"/>
          <w:i/>
          <w:sz w:val="24"/>
          <w:szCs w:val="24"/>
        </w:rPr>
        <w:t>Opłaty zawierają podatek VAT (23%).</w:t>
      </w:r>
    </w:p>
    <w:p w14:paraId="1B76C146" w14:textId="77777777" w:rsidR="00736896" w:rsidRPr="007B36F1" w:rsidRDefault="00736896" w:rsidP="00A8289A">
      <w:pPr>
        <w:spacing w:after="120" w:line="240" w:lineRule="auto"/>
        <w:jc w:val="both"/>
        <w:rPr>
          <w:rFonts w:cs="Times New Roman"/>
          <w:i/>
          <w:sz w:val="24"/>
          <w:szCs w:val="24"/>
        </w:rPr>
      </w:pPr>
    </w:p>
    <w:p w14:paraId="71074954" w14:textId="2F05DEB2" w:rsidR="00603025" w:rsidRPr="007B36F1" w:rsidRDefault="00603025" w:rsidP="00603025">
      <w:pPr>
        <w:spacing w:after="120" w:line="240" w:lineRule="auto"/>
        <w:jc w:val="both"/>
        <w:rPr>
          <w:rFonts w:cs="Times New Roman"/>
          <w:b/>
          <w:color w:val="2E3A8D"/>
          <w:sz w:val="24"/>
          <w:szCs w:val="24"/>
        </w:rPr>
      </w:pPr>
      <w:r>
        <w:rPr>
          <w:rFonts w:cs="Times New Roman"/>
          <w:b/>
          <w:color w:val="2E3A8D"/>
          <w:sz w:val="24"/>
          <w:szCs w:val="24"/>
        </w:rPr>
        <w:t xml:space="preserve">Koszt Konferencji nie obejmuje opłaty za hotel </w:t>
      </w:r>
    </w:p>
    <w:p w14:paraId="7ED4A691" w14:textId="0E789313" w:rsidR="00B6657A" w:rsidRPr="00B6657A" w:rsidRDefault="00532B8B" w:rsidP="000569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Propozycja</w:t>
      </w:r>
      <w:r w:rsidR="00B6657A" w:rsidRPr="00B6657A">
        <w:rPr>
          <w:rFonts w:eastAsia="Times New Roman" w:cs="Times New Roman"/>
          <w:sz w:val="24"/>
          <w:szCs w:val="24"/>
          <w:lang w:eastAsia="pl-PL"/>
        </w:rPr>
        <w:t xml:space="preserve"> zakwaterowani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="00B6657A" w:rsidRPr="00B6657A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B6657A" w:rsidRPr="00B6657A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Hotelu </w:t>
      </w:r>
      <w:proofErr w:type="spellStart"/>
      <w:r w:rsidR="00B6657A" w:rsidRPr="00B6657A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>Tobaco</w:t>
      </w:r>
      <w:proofErr w:type="spellEnd"/>
      <w:r w:rsidR="00B6657A" w:rsidRPr="00B6657A">
        <w:rPr>
          <w:rFonts w:eastAsia="Times New Roman" w:cs="Times New Roman"/>
          <w:color w:val="70AD47" w:themeColor="accent6"/>
          <w:sz w:val="24"/>
          <w:szCs w:val="24"/>
          <w:lang w:eastAsia="pl-PL"/>
        </w:rPr>
        <w:t xml:space="preserve"> </w:t>
      </w:r>
      <w:r w:rsidR="00B6657A" w:rsidRPr="00B6657A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>przy ul. Kopernika 64 w Łodzi</w:t>
      </w:r>
      <w:r w:rsidR="006A3F5C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 xml:space="preserve"> </w:t>
      </w:r>
      <w:r w:rsidR="006A3F5C" w:rsidRPr="006A3F5C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>http://www.hoteltobaco.pl/</w:t>
      </w:r>
    </w:p>
    <w:p w14:paraId="3F0714B8" w14:textId="77777777" w:rsidR="00B6657A" w:rsidRPr="00B6657A" w:rsidRDefault="00B6657A" w:rsidP="00B6657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6657A">
        <w:rPr>
          <w:rFonts w:eastAsia="Times New Roman" w:cs="Times New Roman"/>
          <w:b/>
          <w:bCs/>
          <w:sz w:val="24"/>
          <w:szCs w:val="24"/>
          <w:lang w:eastAsia="pl-PL"/>
        </w:rPr>
        <w:t>Główne atuty hotelu to:</w:t>
      </w:r>
    </w:p>
    <w:p w14:paraId="0DB29D0E" w14:textId="77777777" w:rsidR="00B6657A" w:rsidRPr="00B6657A" w:rsidRDefault="00B6657A" w:rsidP="000569E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 xml:space="preserve">lokalizacja w centrum miasta (bliskość atrakcji – ulica Piotrkowska, Manufaktura), a także Hali Atlas Arena, Lotniska </w:t>
      </w:r>
      <w:proofErr w:type="spellStart"/>
      <w:r w:rsidRPr="00B6657A">
        <w:rPr>
          <w:rFonts w:eastAsia="Times New Roman" w:cs="Times New Roman"/>
          <w:sz w:val="24"/>
          <w:szCs w:val="24"/>
          <w:lang w:eastAsia="pl-PL"/>
        </w:rPr>
        <w:t>Lublinek</w:t>
      </w:r>
      <w:proofErr w:type="spellEnd"/>
      <w:r w:rsidRPr="00B6657A">
        <w:rPr>
          <w:rFonts w:eastAsia="Times New Roman" w:cs="Times New Roman"/>
          <w:sz w:val="24"/>
          <w:szCs w:val="24"/>
          <w:lang w:eastAsia="pl-PL"/>
        </w:rPr>
        <w:t>, Dworca PKP/PKS Łódź Kaliska oraz Hali Targowej EXPO;</w:t>
      </w:r>
    </w:p>
    <w:p w14:paraId="183FDD22" w14:textId="77777777" w:rsidR="00B6657A" w:rsidRPr="00B6657A" w:rsidRDefault="00B6657A" w:rsidP="00B6657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>wielokrotnie nagradzane, designerskie wnętrza;</w:t>
      </w:r>
    </w:p>
    <w:p w14:paraId="651319EC" w14:textId="77777777" w:rsidR="00B6657A" w:rsidRPr="00B6657A" w:rsidRDefault="00B6657A" w:rsidP="00B6657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>115 komfortowych pokoi;</w:t>
      </w:r>
    </w:p>
    <w:p w14:paraId="28D651E5" w14:textId="77777777" w:rsidR="00B6657A" w:rsidRPr="00B6657A" w:rsidRDefault="00B6657A" w:rsidP="00B6657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>bezpieczny, monitorowany parking na hotelowym dziedzińcu;</w:t>
      </w:r>
    </w:p>
    <w:p w14:paraId="41108BE4" w14:textId="77777777" w:rsidR="00B6657A" w:rsidRPr="00B6657A" w:rsidRDefault="00B6657A" w:rsidP="00B6657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>bezpłatna strefa relaksu, czyli sauna fińska i mini siłownia;</w:t>
      </w:r>
    </w:p>
    <w:p w14:paraId="32D39188" w14:textId="77777777" w:rsidR="00B6657A" w:rsidRPr="00B6657A" w:rsidRDefault="00B6657A" w:rsidP="00B6657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>urozmaicona oferta gastronomiczna inspirowana kuchnią polską, niemiecką, rosyjską i żydowską;</w:t>
      </w:r>
    </w:p>
    <w:p w14:paraId="7982D0DD" w14:textId="77777777" w:rsidR="00B6657A" w:rsidRPr="00B6657A" w:rsidRDefault="00B6657A" w:rsidP="00B6657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>bogata oferta konferencyjna;</w:t>
      </w:r>
    </w:p>
    <w:p w14:paraId="6807B699" w14:textId="769932B0" w:rsidR="000569E0" w:rsidRPr="000569E0" w:rsidRDefault="00B6657A" w:rsidP="000569E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6657A">
        <w:rPr>
          <w:rFonts w:eastAsia="Times New Roman" w:cs="Times New Roman"/>
          <w:sz w:val="24"/>
          <w:szCs w:val="24"/>
          <w:lang w:eastAsia="pl-PL"/>
        </w:rPr>
        <w:t>bliskość siedziby Sieci Badawczej ŁUKASIEWICZ - Instytut Biopolimerów i Włókien Chemicznych (organizatora Konferencji).</w:t>
      </w:r>
    </w:p>
    <w:p w14:paraId="307DEC9D" w14:textId="3019986F" w:rsidR="000569E0" w:rsidRPr="000569E0" w:rsidRDefault="000569E0" w:rsidP="000569E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0569E0">
        <w:rPr>
          <w:rFonts w:eastAsia="Times New Roman" w:cs="Times New Roman"/>
          <w:sz w:val="24"/>
          <w:szCs w:val="24"/>
          <w:lang w:eastAsia="pl-PL"/>
        </w:rPr>
        <w:t>Rezerwacj</w:t>
      </w:r>
      <w:r w:rsidR="00532B8B">
        <w:rPr>
          <w:rFonts w:eastAsia="Times New Roman" w:cs="Times New Roman"/>
          <w:sz w:val="24"/>
          <w:szCs w:val="24"/>
          <w:lang w:eastAsia="pl-PL"/>
        </w:rPr>
        <w:t>e</w:t>
      </w:r>
      <w:r w:rsidRPr="000569E0">
        <w:rPr>
          <w:rFonts w:eastAsia="Times New Roman" w:cs="Times New Roman"/>
          <w:sz w:val="24"/>
          <w:szCs w:val="24"/>
          <w:lang w:eastAsia="pl-PL"/>
        </w:rPr>
        <w:t xml:space="preserve"> noclegu osobi</w:t>
      </w:r>
      <w:r w:rsidR="00532B8B">
        <w:rPr>
          <w:rFonts w:eastAsia="Times New Roman" w:cs="Times New Roman"/>
          <w:sz w:val="24"/>
          <w:szCs w:val="24"/>
          <w:lang w:eastAsia="pl-PL"/>
        </w:rPr>
        <w:t>ste</w:t>
      </w:r>
      <w:r w:rsidRPr="000569E0">
        <w:rPr>
          <w:rFonts w:eastAsia="Times New Roman" w:cs="Times New Roman"/>
          <w:sz w:val="24"/>
          <w:szCs w:val="24"/>
          <w:lang w:eastAsia="pl-PL"/>
        </w:rPr>
        <w:t xml:space="preserve"> na hasło – </w:t>
      </w:r>
      <w:r w:rsidRPr="000569E0">
        <w:rPr>
          <w:rFonts w:eastAsia="Times New Roman" w:cs="Times New Roman"/>
          <w:b/>
          <w:bCs/>
          <w:i/>
          <w:iCs/>
          <w:color w:val="70AD47" w:themeColor="accent6"/>
          <w:sz w:val="24"/>
          <w:szCs w:val="24"/>
          <w:lang w:eastAsia="pl-PL"/>
        </w:rPr>
        <w:t>„Ogólnopolska Konferencja Naukowa – Gospodarka o obiegu zamkniętym”</w:t>
      </w:r>
    </w:p>
    <w:p w14:paraId="69EB1D65" w14:textId="77777777" w:rsidR="000569E0" w:rsidRPr="000569E0" w:rsidRDefault="000569E0" w:rsidP="000569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69E0">
        <w:rPr>
          <w:rFonts w:eastAsia="Times New Roman" w:cs="Times New Roman"/>
          <w:sz w:val="24"/>
          <w:szCs w:val="24"/>
          <w:lang w:eastAsia="pl-PL"/>
        </w:rPr>
        <w:t xml:space="preserve">- pokój jednoosobowy ze śniadaniem – </w:t>
      </w:r>
      <w:r w:rsidRPr="000569E0">
        <w:rPr>
          <w:rFonts w:eastAsia="Times New Roman" w:cs="Times New Roman"/>
          <w:b/>
          <w:bCs/>
          <w:sz w:val="24"/>
          <w:szCs w:val="24"/>
          <w:lang w:eastAsia="pl-PL"/>
        </w:rPr>
        <w:t>190 PLN;</w:t>
      </w:r>
    </w:p>
    <w:p w14:paraId="7BD3AE23" w14:textId="77777777" w:rsidR="000569E0" w:rsidRPr="000569E0" w:rsidRDefault="000569E0" w:rsidP="000569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69E0">
        <w:rPr>
          <w:rFonts w:eastAsia="Times New Roman" w:cs="Times New Roman"/>
          <w:sz w:val="24"/>
          <w:szCs w:val="24"/>
          <w:lang w:eastAsia="pl-PL"/>
        </w:rPr>
        <w:t xml:space="preserve">- pokój dwuosobowy ze śniadaniem – </w:t>
      </w:r>
      <w:r w:rsidRPr="000569E0">
        <w:rPr>
          <w:rFonts w:eastAsia="Times New Roman" w:cs="Times New Roman"/>
          <w:b/>
          <w:bCs/>
          <w:sz w:val="24"/>
          <w:szCs w:val="24"/>
          <w:lang w:eastAsia="pl-PL"/>
        </w:rPr>
        <w:t>240 PLN;</w:t>
      </w:r>
    </w:p>
    <w:p w14:paraId="02CC7DFD" w14:textId="77777777" w:rsidR="000569E0" w:rsidRPr="000569E0" w:rsidRDefault="000569E0" w:rsidP="000569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69E0">
        <w:rPr>
          <w:rFonts w:eastAsia="Times New Roman" w:cs="Times New Roman"/>
          <w:sz w:val="24"/>
          <w:szCs w:val="24"/>
          <w:lang w:eastAsia="pl-PL"/>
        </w:rPr>
        <w:t>- parking – płatny 30,00 zł/pojazd; przed hotelem- strefa miejska, bezpłatna;</w:t>
      </w:r>
    </w:p>
    <w:p w14:paraId="7A09FD64" w14:textId="009EF14E" w:rsidR="000569E0" w:rsidRPr="000569E0" w:rsidRDefault="00532B8B" w:rsidP="000569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Zgłoszenia</w:t>
      </w:r>
      <w:r w:rsidR="000569E0" w:rsidRPr="000569E0">
        <w:rPr>
          <w:rFonts w:eastAsia="Times New Roman" w:cs="Times New Roman"/>
          <w:sz w:val="24"/>
          <w:szCs w:val="24"/>
          <w:lang w:eastAsia="pl-PL"/>
        </w:rPr>
        <w:t xml:space="preserve"> bezpośrednio na adres – </w:t>
      </w:r>
      <w:hyperlink r:id="rId11" w:history="1">
        <w:r w:rsidR="000569E0" w:rsidRPr="000569E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rezerwacje@hoteltobaco.pl</w:t>
        </w:r>
      </w:hyperlink>
      <w:r w:rsidR="000569E0" w:rsidRPr="000569E0">
        <w:rPr>
          <w:rFonts w:eastAsia="Times New Roman" w:cs="Times New Roman"/>
          <w:sz w:val="24"/>
          <w:szCs w:val="24"/>
          <w:lang w:eastAsia="pl-PL"/>
        </w:rPr>
        <w:t xml:space="preserve"> lub </w:t>
      </w:r>
      <w:hyperlink r:id="rId12" w:history="1">
        <w:r w:rsidR="000569E0" w:rsidRPr="000569E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recepcja@hoteltobaco.pl</w:t>
        </w:r>
      </w:hyperlink>
    </w:p>
    <w:p w14:paraId="6C4AE528" w14:textId="77FF8F66" w:rsidR="000569E0" w:rsidRPr="000569E0" w:rsidRDefault="000569E0" w:rsidP="000569E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569E0">
        <w:rPr>
          <w:rFonts w:eastAsia="Times New Roman" w:cs="Times New Roman"/>
          <w:sz w:val="24"/>
          <w:szCs w:val="24"/>
          <w:lang w:eastAsia="pl-PL"/>
        </w:rPr>
        <w:t>Hotel rozlicza się bezpośrednio z Gościem na podstawie faktury proforma – 100% przedpłaty przed przyjazdem</w:t>
      </w:r>
      <w:r w:rsidR="00532B8B">
        <w:rPr>
          <w:rFonts w:eastAsia="Times New Roman" w:cs="Times New Roman"/>
          <w:sz w:val="24"/>
          <w:szCs w:val="24"/>
          <w:lang w:eastAsia="pl-PL"/>
        </w:rPr>
        <w:t>.</w:t>
      </w:r>
    </w:p>
    <w:p w14:paraId="205B26C9" w14:textId="501F9E46" w:rsidR="000569E0" w:rsidRPr="007B36F1" w:rsidRDefault="000569E0" w:rsidP="00FD0982">
      <w:pPr>
        <w:spacing w:after="120" w:line="240" w:lineRule="auto"/>
        <w:jc w:val="both"/>
        <w:rPr>
          <w:rFonts w:cs="Times New Roman"/>
          <w:b/>
          <w:color w:val="002E8A"/>
          <w:sz w:val="24"/>
          <w:szCs w:val="24"/>
        </w:rPr>
        <w:sectPr w:rsidR="000569E0" w:rsidRPr="007B36F1" w:rsidSect="00E324AE">
          <w:headerReference w:type="default" r:id="rId13"/>
          <w:footerReference w:type="default" r:id="rId14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05B46DC" w14:textId="37D7CB7C" w:rsidR="008341E7" w:rsidRPr="007B36F1" w:rsidRDefault="0065768A" w:rsidP="005947C4">
      <w:pPr>
        <w:spacing w:after="0" w:line="360" w:lineRule="auto"/>
        <w:ind w:right="-213"/>
        <w:jc w:val="both"/>
        <w:rPr>
          <w:rFonts w:cs="Times New Roman"/>
          <w:sz w:val="24"/>
          <w:szCs w:val="24"/>
        </w:rPr>
      </w:pPr>
      <w:r w:rsidRPr="007B36F1">
        <w:rPr>
          <w:rFonts w:cs="Times New Roman"/>
          <w:b/>
          <w:color w:val="008A35"/>
          <w:sz w:val="24"/>
          <w:szCs w:val="24"/>
        </w:rPr>
        <w:br w:type="column"/>
      </w:r>
    </w:p>
    <w:p w14:paraId="58DFE572" w14:textId="77777777" w:rsidR="00A87525" w:rsidRPr="007B36F1" w:rsidRDefault="00A87525" w:rsidP="00DC0E88">
      <w:pPr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</w:p>
    <w:p w14:paraId="20722859" w14:textId="77777777" w:rsidR="0065768A" w:rsidRPr="007B36F1" w:rsidRDefault="0065768A" w:rsidP="00A8752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cs="Times New Roman"/>
          <w:b/>
          <w:color w:val="008A35"/>
          <w:sz w:val="24"/>
          <w:szCs w:val="24"/>
        </w:rPr>
      </w:pPr>
      <w:r w:rsidRPr="007B36F1">
        <w:rPr>
          <w:rFonts w:cs="Times New Roman"/>
          <w:b/>
          <w:color w:val="008A35"/>
          <w:sz w:val="24"/>
          <w:szCs w:val="24"/>
        </w:rPr>
        <w:t>Sekretarz konferencji – dane kontaktowe</w:t>
      </w:r>
    </w:p>
    <w:p w14:paraId="5682A151" w14:textId="77777777" w:rsidR="00A87525" w:rsidRPr="007B36F1" w:rsidRDefault="00A87525" w:rsidP="00A87525">
      <w:pPr>
        <w:spacing w:after="0" w:line="360" w:lineRule="auto"/>
        <w:jc w:val="both"/>
        <w:rPr>
          <w:rFonts w:cs="Times New Roman"/>
          <w:b/>
          <w:color w:val="008A35"/>
          <w:sz w:val="24"/>
          <w:szCs w:val="24"/>
        </w:rPr>
      </w:pPr>
    </w:p>
    <w:p w14:paraId="6C738919" w14:textId="77777777" w:rsidR="003C6379" w:rsidRPr="0088498F" w:rsidRDefault="003C6379" w:rsidP="0065768A">
      <w:pPr>
        <w:pStyle w:val="Akapitzlist"/>
        <w:spacing w:after="0"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88498F">
        <w:rPr>
          <w:rFonts w:cs="Times New Roman"/>
          <w:sz w:val="24"/>
          <w:szCs w:val="24"/>
        </w:rPr>
        <w:t>m</w:t>
      </w:r>
      <w:r w:rsidR="00A8289A" w:rsidRPr="0088498F">
        <w:rPr>
          <w:rFonts w:cs="Times New Roman"/>
          <w:sz w:val="24"/>
          <w:szCs w:val="24"/>
        </w:rPr>
        <w:t>gr</w:t>
      </w:r>
      <w:r w:rsidRPr="0088498F">
        <w:rPr>
          <w:rFonts w:cs="Times New Roman"/>
          <w:sz w:val="24"/>
          <w:szCs w:val="24"/>
        </w:rPr>
        <w:t xml:space="preserve"> </w:t>
      </w:r>
      <w:r w:rsidR="00506517" w:rsidRPr="0088498F">
        <w:rPr>
          <w:rFonts w:cs="Times New Roman"/>
          <w:sz w:val="24"/>
          <w:szCs w:val="24"/>
        </w:rPr>
        <w:t xml:space="preserve">Katarzyna </w:t>
      </w:r>
      <w:proofErr w:type="spellStart"/>
      <w:r w:rsidR="00506517" w:rsidRPr="0088498F">
        <w:rPr>
          <w:rFonts w:cs="Times New Roman"/>
          <w:sz w:val="24"/>
          <w:szCs w:val="24"/>
        </w:rPr>
        <w:t>Drużdż</w:t>
      </w:r>
      <w:proofErr w:type="spellEnd"/>
      <w:r w:rsidR="00506517" w:rsidRPr="0088498F">
        <w:rPr>
          <w:rFonts w:cs="Times New Roman"/>
          <w:sz w:val="24"/>
          <w:szCs w:val="24"/>
        </w:rPr>
        <w:t xml:space="preserve"> </w:t>
      </w:r>
      <w:r w:rsidR="00A8289A" w:rsidRPr="0088498F">
        <w:rPr>
          <w:rFonts w:cs="Times New Roman"/>
          <w:sz w:val="24"/>
          <w:szCs w:val="24"/>
        </w:rPr>
        <w:t xml:space="preserve"> </w:t>
      </w:r>
    </w:p>
    <w:p w14:paraId="275F7AC5" w14:textId="18594405" w:rsidR="00A8289A" w:rsidRPr="0088498F" w:rsidRDefault="00A8289A" w:rsidP="0065768A">
      <w:pPr>
        <w:pStyle w:val="Akapitzlist"/>
        <w:spacing w:after="0" w:line="360" w:lineRule="auto"/>
        <w:ind w:left="284" w:hanging="284"/>
        <w:jc w:val="both"/>
        <w:rPr>
          <w:rStyle w:val="Hipercze"/>
          <w:rFonts w:cs="Times New Roman"/>
          <w:color w:val="auto"/>
          <w:sz w:val="24"/>
          <w:szCs w:val="24"/>
          <w:u w:val="none"/>
          <w:lang w:val="en-US"/>
        </w:rPr>
      </w:pPr>
      <w:r w:rsidRPr="0088498F">
        <w:rPr>
          <w:rFonts w:cs="Times New Roman"/>
          <w:sz w:val="24"/>
          <w:szCs w:val="24"/>
          <w:lang w:val="en-US"/>
        </w:rPr>
        <w:t>E-mail</w:t>
      </w:r>
      <w:r w:rsidR="000A7114" w:rsidRPr="0088498F">
        <w:rPr>
          <w:rFonts w:cs="Times New Roman"/>
          <w:sz w:val="24"/>
          <w:szCs w:val="24"/>
          <w:lang w:val="en-US"/>
        </w:rPr>
        <w:t xml:space="preserve"> </w:t>
      </w:r>
      <w:hyperlink r:id="rId15" w:history="1">
        <w:r w:rsidR="0088498F" w:rsidRPr="00801D72">
          <w:rPr>
            <w:rStyle w:val="Hipercze"/>
            <w:rFonts w:cs="Times New Roman"/>
            <w:sz w:val="24"/>
            <w:szCs w:val="24"/>
            <w:lang w:val="en-US"/>
          </w:rPr>
          <w:t>k.druzdz@ibwch.lodz.pl</w:t>
        </w:r>
      </w:hyperlink>
    </w:p>
    <w:p w14:paraId="14F5A69E" w14:textId="77777777" w:rsidR="00A8289A" w:rsidRPr="007B36F1" w:rsidRDefault="00A8289A" w:rsidP="0065768A">
      <w:pPr>
        <w:spacing w:after="0" w:line="360" w:lineRule="auto"/>
        <w:ind w:left="284" w:hanging="284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88498F">
        <w:rPr>
          <w:rStyle w:val="Hipercze"/>
          <w:rFonts w:cs="Times New Roman"/>
          <w:color w:val="auto"/>
          <w:sz w:val="24"/>
          <w:szCs w:val="24"/>
          <w:u w:val="none"/>
        </w:rPr>
        <w:t>Telefon: (</w:t>
      </w:r>
      <w:r w:rsidRPr="0088498F">
        <w:rPr>
          <w:rFonts w:cs="Times New Roman"/>
          <w:sz w:val="24"/>
          <w:szCs w:val="24"/>
        </w:rPr>
        <w:t>42)</w:t>
      </w:r>
      <w:r w:rsidRPr="0088498F">
        <w:rPr>
          <w:rFonts w:cs="Calibri"/>
          <w:sz w:val="24"/>
          <w:szCs w:val="24"/>
        </w:rPr>
        <w:t> </w:t>
      </w:r>
      <w:r w:rsidRPr="0088498F">
        <w:rPr>
          <w:rFonts w:cs="Times New Roman"/>
          <w:sz w:val="24"/>
          <w:szCs w:val="24"/>
        </w:rPr>
        <w:t>638 03 21</w:t>
      </w:r>
    </w:p>
    <w:bookmarkEnd w:id="0"/>
    <w:p w14:paraId="2F05C714" w14:textId="77777777" w:rsidR="00E324AE" w:rsidRPr="007B36F1" w:rsidRDefault="00E324AE" w:rsidP="00FC1561">
      <w:pPr>
        <w:spacing w:after="120" w:line="240" w:lineRule="auto"/>
        <w:jc w:val="both"/>
        <w:rPr>
          <w:rFonts w:cs="Times New Roman"/>
          <w:color w:val="0563C1" w:themeColor="hyperlink"/>
          <w:sz w:val="24"/>
          <w:szCs w:val="24"/>
          <w:u w:val="single"/>
        </w:rPr>
      </w:pPr>
    </w:p>
    <w:sectPr w:rsidR="00E324AE" w:rsidRPr="007B36F1" w:rsidSect="00C819D3">
      <w:headerReference w:type="default" r:id="rId16"/>
      <w:footerReference w:type="default" r:id="rId17"/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11E3" w14:textId="77777777" w:rsidR="00A629C4" w:rsidRDefault="00A629C4" w:rsidP="0038558B">
      <w:pPr>
        <w:spacing w:after="0" w:line="240" w:lineRule="auto"/>
      </w:pPr>
      <w:r>
        <w:separator/>
      </w:r>
    </w:p>
  </w:endnote>
  <w:endnote w:type="continuationSeparator" w:id="0">
    <w:p w14:paraId="10EC2903" w14:textId="77777777" w:rsidR="00A629C4" w:rsidRDefault="00A629C4" w:rsidP="0038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xo 2.0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0CA2C" w14:textId="1E469DCE" w:rsidR="00A8289A" w:rsidRPr="004C1DAA" w:rsidRDefault="004647EB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>
      <w:rPr>
        <w:rFonts w:ascii="Exo 2.0" w:hAnsi="Exo 2.0" w:cs="Times New Roman"/>
        <w:sz w:val="20"/>
        <w:szCs w:val="20"/>
      </w:rPr>
      <w:t xml:space="preserve">Sieć Badawcza Łukasiewicz - </w:t>
    </w:r>
    <w:r w:rsidR="00A8289A" w:rsidRPr="004C1DAA">
      <w:rPr>
        <w:rFonts w:ascii="Exo 2.0" w:hAnsi="Exo 2.0" w:cs="Times New Roman"/>
        <w:sz w:val="20"/>
        <w:szCs w:val="20"/>
      </w:rPr>
      <w:t>Instytut Biopolimerów i Włókien Chemicznych, ul. Marii Skłodowskiej–Curie 19/27, 90-570 Łódź</w:t>
    </w:r>
  </w:p>
  <w:p w14:paraId="0808D840" w14:textId="07CD3F18" w:rsidR="00A8289A" w:rsidRPr="004C1DAA" w:rsidRDefault="00A8289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tel.: +42</w:t>
    </w:r>
    <w:r w:rsidRPr="004C1DAA">
      <w:rPr>
        <w:rFonts w:ascii="Calibri" w:hAnsi="Calibri" w:cs="Calibri"/>
        <w:sz w:val="20"/>
        <w:szCs w:val="20"/>
      </w:rPr>
      <w:t> </w:t>
    </w:r>
    <w:r w:rsidRPr="004C1DAA">
      <w:rPr>
        <w:rFonts w:ascii="Exo 2.0" w:hAnsi="Exo 2.0" w:cs="Times New Roman"/>
        <w:sz w:val="20"/>
        <w:szCs w:val="20"/>
      </w:rPr>
      <w:t>638 03 0</w:t>
    </w:r>
    <w:r w:rsidR="007B36F1">
      <w:rPr>
        <w:rFonts w:ascii="Exo 2.0" w:hAnsi="Exo 2.0" w:cs="Times New Roman"/>
        <w:sz w:val="20"/>
        <w:szCs w:val="20"/>
      </w:rPr>
      <w:t>2</w:t>
    </w:r>
    <w:r w:rsidRPr="004C1DAA">
      <w:rPr>
        <w:rFonts w:ascii="Exo 2.0" w:hAnsi="Exo 2.0" w:cs="Times New Roman"/>
        <w:sz w:val="20"/>
        <w:szCs w:val="20"/>
      </w:rPr>
      <w:t xml:space="preserve">, e-mail: </w:t>
    </w:r>
    <w:hyperlink r:id="rId1" w:history="1">
      <w:r w:rsidRPr="004C1DAA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B51A" w14:textId="3254A8C1" w:rsidR="00497ACA" w:rsidRPr="004C1DAA" w:rsidRDefault="00F2244D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>
      <w:rPr>
        <w:rFonts w:ascii="Exo 2.0" w:hAnsi="Exo 2.0" w:cs="Times New Roman"/>
        <w:sz w:val="20"/>
        <w:szCs w:val="20"/>
      </w:rPr>
      <w:t xml:space="preserve">Sieć Badawcza Łukasiewicz - </w:t>
    </w:r>
    <w:r w:rsidR="00497ACA" w:rsidRPr="004C1DAA">
      <w:rPr>
        <w:rFonts w:ascii="Exo 2.0" w:hAnsi="Exo 2.0" w:cs="Times New Roman"/>
        <w:sz w:val="20"/>
        <w:szCs w:val="20"/>
      </w:rPr>
      <w:t>Instytut Biopolimerów i Włókien Chemicznych, ul. Marii Skłodowskiej–Curie 19/27, 90-570 Łódź</w:t>
    </w:r>
  </w:p>
  <w:p w14:paraId="01D4AD3F" w14:textId="77777777" w:rsidR="00497ACA" w:rsidRPr="004C1DAA" w:rsidRDefault="00497ACA" w:rsidP="00497ACA">
    <w:pPr>
      <w:pStyle w:val="Stopka"/>
      <w:jc w:val="center"/>
      <w:rPr>
        <w:rFonts w:ascii="Exo 2.0" w:hAnsi="Exo 2.0" w:cs="Times New Roman"/>
        <w:sz w:val="20"/>
        <w:szCs w:val="20"/>
      </w:rPr>
    </w:pPr>
    <w:r w:rsidRPr="004C1DAA">
      <w:rPr>
        <w:rFonts w:ascii="Exo 2.0" w:hAnsi="Exo 2.0" w:cs="Times New Roman"/>
        <w:sz w:val="20"/>
        <w:szCs w:val="20"/>
      </w:rPr>
      <w:t>tel.: +42</w:t>
    </w:r>
    <w:r w:rsidRPr="004C1DAA">
      <w:rPr>
        <w:rFonts w:ascii="Times New Roman" w:hAnsi="Times New Roman" w:cs="Times New Roman"/>
        <w:sz w:val="20"/>
        <w:szCs w:val="20"/>
      </w:rPr>
      <w:t> </w:t>
    </w:r>
    <w:r w:rsidRPr="004C1DAA">
      <w:rPr>
        <w:rFonts w:ascii="Exo 2.0" w:hAnsi="Exo 2.0" w:cs="Times New Roman"/>
        <w:sz w:val="20"/>
        <w:szCs w:val="20"/>
      </w:rPr>
      <w:t xml:space="preserve">638 03 00, e-mail: </w:t>
    </w:r>
    <w:hyperlink r:id="rId1" w:history="1">
      <w:r w:rsidRPr="004C1DAA">
        <w:rPr>
          <w:rStyle w:val="Hipercze"/>
          <w:rFonts w:ascii="Exo 2.0" w:hAnsi="Exo 2.0" w:cs="Times New Roman"/>
          <w:sz w:val="20"/>
          <w:szCs w:val="20"/>
        </w:rPr>
        <w:t>ibwch@ibwch.lodz.pl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9C40" w14:textId="77777777" w:rsidR="00A629C4" w:rsidRDefault="00A629C4" w:rsidP="0038558B">
      <w:pPr>
        <w:spacing w:after="0" w:line="240" w:lineRule="auto"/>
      </w:pPr>
      <w:r>
        <w:separator/>
      </w:r>
    </w:p>
  </w:footnote>
  <w:footnote w:type="continuationSeparator" w:id="0">
    <w:p w14:paraId="5DE98DFD" w14:textId="77777777" w:rsidR="00A629C4" w:rsidRDefault="00A629C4" w:rsidP="0038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AD5A" w14:textId="77777777" w:rsidR="00A8289A" w:rsidRDefault="00A8289A">
    <w:pPr>
      <w:pStyle w:val="Nagwek"/>
    </w:pPr>
  </w:p>
  <w:p w14:paraId="2B4B49C3" w14:textId="77777777" w:rsidR="00A8289A" w:rsidRDefault="00A828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8463" w14:textId="77777777" w:rsidR="0038558B" w:rsidRDefault="0038558B">
    <w:pPr>
      <w:pStyle w:val="Nagwek"/>
    </w:pPr>
  </w:p>
  <w:p w14:paraId="5FC6AF1E" w14:textId="77777777" w:rsidR="0038558B" w:rsidRDefault="00385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035"/>
    <w:multiLevelType w:val="hybridMultilevel"/>
    <w:tmpl w:val="EA7C2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52F1F"/>
    <w:multiLevelType w:val="hybridMultilevel"/>
    <w:tmpl w:val="DA52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817"/>
    <w:multiLevelType w:val="hybridMultilevel"/>
    <w:tmpl w:val="1D38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50DA"/>
    <w:multiLevelType w:val="hybridMultilevel"/>
    <w:tmpl w:val="60D093D6"/>
    <w:lvl w:ilvl="0" w:tplc="0415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F507920"/>
    <w:multiLevelType w:val="multilevel"/>
    <w:tmpl w:val="3D9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651F6"/>
    <w:multiLevelType w:val="hybridMultilevel"/>
    <w:tmpl w:val="0FDE0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4C47"/>
    <w:multiLevelType w:val="multilevel"/>
    <w:tmpl w:val="1BA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65506"/>
    <w:multiLevelType w:val="hybridMultilevel"/>
    <w:tmpl w:val="282A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3D7"/>
    <w:multiLevelType w:val="multilevel"/>
    <w:tmpl w:val="A84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963E6"/>
    <w:multiLevelType w:val="multilevel"/>
    <w:tmpl w:val="7638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CF738C"/>
    <w:multiLevelType w:val="hybridMultilevel"/>
    <w:tmpl w:val="49024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9004A"/>
    <w:multiLevelType w:val="hybridMultilevel"/>
    <w:tmpl w:val="A198C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AE8"/>
    <w:multiLevelType w:val="multilevel"/>
    <w:tmpl w:val="E9A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82135B"/>
    <w:multiLevelType w:val="hybridMultilevel"/>
    <w:tmpl w:val="7178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A7BDD"/>
    <w:multiLevelType w:val="multilevel"/>
    <w:tmpl w:val="636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E4689"/>
    <w:multiLevelType w:val="hybridMultilevel"/>
    <w:tmpl w:val="6836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5E04"/>
    <w:multiLevelType w:val="multilevel"/>
    <w:tmpl w:val="0CB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92910"/>
    <w:multiLevelType w:val="hybridMultilevel"/>
    <w:tmpl w:val="03A2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8BB"/>
    <w:multiLevelType w:val="hybridMultilevel"/>
    <w:tmpl w:val="BF801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CA2D53"/>
    <w:multiLevelType w:val="hybridMultilevel"/>
    <w:tmpl w:val="A4AABF66"/>
    <w:lvl w:ilvl="0" w:tplc="3536C0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1AF3BAA"/>
    <w:multiLevelType w:val="multilevel"/>
    <w:tmpl w:val="4A7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FF0B77"/>
    <w:multiLevelType w:val="hybridMultilevel"/>
    <w:tmpl w:val="2C960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74694"/>
    <w:multiLevelType w:val="hybridMultilevel"/>
    <w:tmpl w:val="2D7441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DF80C09"/>
    <w:multiLevelType w:val="hybridMultilevel"/>
    <w:tmpl w:val="B8180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3581A"/>
    <w:multiLevelType w:val="multilevel"/>
    <w:tmpl w:val="7064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E63C1"/>
    <w:multiLevelType w:val="multilevel"/>
    <w:tmpl w:val="72A2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33D44"/>
    <w:multiLevelType w:val="hybridMultilevel"/>
    <w:tmpl w:val="10DC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D7FA1"/>
    <w:multiLevelType w:val="hybridMultilevel"/>
    <w:tmpl w:val="184C9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777B"/>
    <w:multiLevelType w:val="multilevel"/>
    <w:tmpl w:val="142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5"/>
  </w:num>
  <w:num w:numId="5">
    <w:abstractNumId w:val="8"/>
  </w:num>
  <w:num w:numId="6">
    <w:abstractNumId w:val="25"/>
  </w:num>
  <w:num w:numId="7">
    <w:abstractNumId w:val="4"/>
  </w:num>
  <w:num w:numId="8">
    <w:abstractNumId w:val="24"/>
  </w:num>
  <w:num w:numId="9">
    <w:abstractNumId w:val="28"/>
  </w:num>
  <w:num w:numId="10">
    <w:abstractNumId w:val="16"/>
  </w:num>
  <w:num w:numId="11">
    <w:abstractNumId w:val="14"/>
  </w:num>
  <w:num w:numId="12">
    <w:abstractNumId w:val="20"/>
  </w:num>
  <w:num w:numId="13">
    <w:abstractNumId w:val="12"/>
  </w:num>
  <w:num w:numId="14">
    <w:abstractNumId w:val="13"/>
  </w:num>
  <w:num w:numId="15">
    <w:abstractNumId w:val="23"/>
  </w:num>
  <w:num w:numId="16">
    <w:abstractNumId w:val="18"/>
  </w:num>
  <w:num w:numId="17">
    <w:abstractNumId w:val="0"/>
  </w:num>
  <w:num w:numId="18">
    <w:abstractNumId w:val="22"/>
  </w:num>
  <w:num w:numId="19">
    <w:abstractNumId w:val="21"/>
  </w:num>
  <w:num w:numId="20">
    <w:abstractNumId w:val="15"/>
  </w:num>
  <w:num w:numId="21">
    <w:abstractNumId w:val="2"/>
  </w:num>
  <w:num w:numId="22">
    <w:abstractNumId w:val="1"/>
  </w:num>
  <w:num w:numId="23">
    <w:abstractNumId w:val="17"/>
  </w:num>
  <w:num w:numId="24">
    <w:abstractNumId w:val="3"/>
  </w:num>
  <w:num w:numId="25">
    <w:abstractNumId w:val="27"/>
  </w:num>
  <w:num w:numId="26">
    <w:abstractNumId w:val="11"/>
  </w:num>
  <w:num w:numId="27">
    <w:abstractNumId w:val="7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dbdb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BF"/>
    <w:rsid w:val="000061BD"/>
    <w:rsid w:val="000061E3"/>
    <w:rsid w:val="000139AD"/>
    <w:rsid w:val="0002242F"/>
    <w:rsid w:val="00030763"/>
    <w:rsid w:val="000351C2"/>
    <w:rsid w:val="000569E0"/>
    <w:rsid w:val="000644E0"/>
    <w:rsid w:val="000669DD"/>
    <w:rsid w:val="00084326"/>
    <w:rsid w:val="00087836"/>
    <w:rsid w:val="0009414A"/>
    <w:rsid w:val="000A245F"/>
    <w:rsid w:val="000A502E"/>
    <w:rsid w:val="000A581C"/>
    <w:rsid w:val="000A7114"/>
    <w:rsid w:val="000B3E9E"/>
    <w:rsid w:val="000D2524"/>
    <w:rsid w:val="000D2611"/>
    <w:rsid w:val="000E08D6"/>
    <w:rsid w:val="000E1857"/>
    <w:rsid w:val="000E25F8"/>
    <w:rsid w:val="000E5AA7"/>
    <w:rsid w:val="000F0D72"/>
    <w:rsid w:val="000F62C6"/>
    <w:rsid w:val="001033A2"/>
    <w:rsid w:val="001151CB"/>
    <w:rsid w:val="00135ED3"/>
    <w:rsid w:val="0014161E"/>
    <w:rsid w:val="001421AF"/>
    <w:rsid w:val="00143F48"/>
    <w:rsid w:val="0016038B"/>
    <w:rsid w:val="00180642"/>
    <w:rsid w:val="001A2FA1"/>
    <w:rsid w:val="001B567B"/>
    <w:rsid w:val="001C6B5E"/>
    <w:rsid w:val="001C765A"/>
    <w:rsid w:val="001C7AF3"/>
    <w:rsid w:val="001D69B9"/>
    <w:rsid w:val="001E6449"/>
    <w:rsid w:val="001F2DAE"/>
    <w:rsid w:val="00233F9D"/>
    <w:rsid w:val="00246A0D"/>
    <w:rsid w:val="0025170F"/>
    <w:rsid w:val="00255204"/>
    <w:rsid w:val="002731D6"/>
    <w:rsid w:val="0027325C"/>
    <w:rsid w:val="0027331D"/>
    <w:rsid w:val="00292A43"/>
    <w:rsid w:val="002A22AD"/>
    <w:rsid w:val="002A3319"/>
    <w:rsid w:val="002A6AC5"/>
    <w:rsid w:val="002C10E0"/>
    <w:rsid w:val="002C70F8"/>
    <w:rsid w:val="002D137E"/>
    <w:rsid w:val="002F2892"/>
    <w:rsid w:val="002F3E67"/>
    <w:rsid w:val="002F7ADC"/>
    <w:rsid w:val="00304244"/>
    <w:rsid w:val="003109D0"/>
    <w:rsid w:val="0033320B"/>
    <w:rsid w:val="0036005C"/>
    <w:rsid w:val="0036162A"/>
    <w:rsid w:val="00372513"/>
    <w:rsid w:val="00372F8F"/>
    <w:rsid w:val="0037400A"/>
    <w:rsid w:val="00380382"/>
    <w:rsid w:val="0038558B"/>
    <w:rsid w:val="0039084F"/>
    <w:rsid w:val="00392A13"/>
    <w:rsid w:val="003A1DF1"/>
    <w:rsid w:val="003A712A"/>
    <w:rsid w:val="003B1379"/>
    <w:rsid w:val="003B18A2"/>
    <w:rsid w:val="003B6CC6"/>
    <w:rsid w:val="003C22E9"/>
    <w:rsid w:val="003C4917"/>
    <w:rsid w:val="003C5E78"/>
    <w:rsid w:val="003C6379"/>
    <w:rsid w:val="003D21A0"/>
    <w:rsid w:val="003D7601"/>
    <w:rsid w:val="003F1167"/>
    <w:rsid w:val="003F604B"/>
    <w:rsid w:val="00413D44"/>
    <w:rsid w:val="00422227"/>
    <w:rsid w:val="0042723C"/>
    <w:rsid w:val="00432F18"/>
    <w:rsid w:val="00434CD3"/>
    <w:rsid w:val="004532B6"/>
    <w:rsid w:val="00454AAD"/>
    <w:rsid w:val="0045741B"/>
    <w:rsid w:val="00460F50"/>
    <w:rsid w:val="004647EB"/>
    <w:rsid w:val="004664DE"/>
    <w:rsid w:val="00476015"/>
    <w:rsid w:val="00497ACA"/>
    <w:rsid w:val="004B64C2"/>
    <w:rsid w:val="004C0B2B"/>
    <w:rsid w:val="004C1504"/>
    <w:rsid w:val="004C163C"/>
    <w:rsid w:val="004C1DAA"/>
    <w:rsid w:val="004D42DA"/>
    <w:rsid w:val="004E68EA"/>
    <w:rsid w:val="00506517"/>
    <w:rsid w:val="00516555"/>
    <w:rsid w:val="00521E85"/>
    <w:rsid w:val="00526E4F"/>
    <w:rsid w:val="005305AE"/>
    <w:rsid w:val="00532B8B"/>
    <w:rsid w:val="00535F95"/>
    <w:rsid w:val="00550DDB"/>
    <w:rsid w:val="00554815"/>
    <w:rsid w:val="00564D2C"/>
    <w:rsid w:val="005723D9"/>
    <w:rsid w:val="0057673C"/>
    <w:rsid w:val="0057756A"/>
    <w:rsid w:val="00583B4C"/>
    <w:rsid w:val="005874A5"/>
    <w:rsid w:val="005947C4"/>
    <w:rsid w:val="005B4D52"/>
    <w:rsid w:val="005C730B"/>
    <w:rsid w:val="005D2A1C"/>
    <w:rsid w:val="005F2F53"/>
    <w:rsid w:val="00603025"/>
    <w:rsid w:val="006064B5"/>
    <w:rsid w:val="00615C97"/>
    <w:rsid w:val="00620147"/>
    <w:rsid w:val="0062541E"/>
    <w:rsid w:val="006259FD"/>
    <w:rsid w:val="00647D84"/>
    <w:rsid w:val="0065768A"/>
    <w:rsid w:val="0067191A"/>
    <w:rsid w:val="006773F5"/>
    <w:rsid w:val="00680BFC"/>
    <w:rsid w:val="006831B1"/>
    <w:rsid w:val="00683F14"/>
    <w:rsid w:val="0068480E"/>
    <w:rsid w:val="0068565F"/>
    <w:rsid w:val="006A3F5C"/>
    <w:rsid w:val="006A70BB"/>
    <w:rsid w:val="006B0A65"/>
    <w:rsid w:val="006B0EC0"/>
    <w:rsid w:val="006E3873"/>
    <w:rsid w:val="006E4F14"/>
    <w:rsid w:val="006E5ABF"/>
    <w:rsid w:val="006F4BF1"/>
    <w:rsid w:val="006F5AE9"/>
    <w:rsid w:val="006F6583"/>
    <w:rsid w:val="0070586C"/>
    <w:rsid w:val="007239A0"/>
    <w:rsid w:val="0073037C"/>
    <w:rsid w:val="00734571"/>
    <w:rsid w:val="00736896"/>
    <w:rsid w:val="00745929"/>
    <w:rsid w:val="00762F13"/>
    <w:rsid w:val="00764B5C"/>
    <w:rsid w:val="007A03EE"/>
    <w:rsid w:val="007A0CE4"/>
    <w:rsid w:val="007B36F1"/>
    <w:rsid w:val="007C0059"/>
    <w:rsid w:val="007C0122"/>
    <w:rsid w:val="007D4B7A"/>
    <w:rsid w:val="007F7DAE"/>
    <w:rsid w:val="00815ACA"/>
    <w:rsid w:val="008341E7"/>
    <w:rsid w:val="00850FCF"/>
    <w:rsid w:val="008533C2"/>
    <w:rsid w:val="00863A15"/>
    <w:rsid w:val="00872882"/>
    <w:rsid w:val="0087717E"/>
    <w:rsid w:val="00882E8B"/>
    <w:rsid w:val="0088498F"/>
    <w:rsid w:val="008859B3"/>
    <w:rsid w:val="00891383"/>
    <w:rsid w:val="00895028"/>
    <w:rsid w:val="008B0C77"/>
    <w:rsid w:val="008C3463"/>
    <w:rsid w:val="008C5189"/>
    <w:rsid w:val="008D364F"/>
    <w:rsid w:val="008E17EF"/>
    <w:rsid w:val="008E619F"/>
    <w:rsid w:val="008F6372"/>
    <w:rsid w:val="00905660"/>
    <w:rsid w:val="00915412"/>
    <w:rsid w:val="00937C00"/>
    <w:rsid w:val="00944708"/>
    <w:rsid w:val="00947938"/>
    <w:rsid w:val="00951440"/>
    <w:rsid w:val="00953D1B"/>
    <w:rsid w:val="00965FBF"/>
    <w:rsid w:val="00980696"/>
    <w:rsid w:val="009A7EE5"/>
    <w:rsid w:val="009B04C4"/>
    <w:rsid w:val="009B0A09"/>
    <w:rsid w:val="009C5F42"/>
    <w:rsid w:val="009E1D44"/>
    <w:rsid w:val="009F2141"/>
    <w:rsid w:val="009F3D3C"/>
    <w:rsid w:val="00A0071D"/>
    <w:rsid w:val="00A0712C"/>
    <w:rsid w:val="00A16334"/>
    <w:rsid w:val="00A2600A"/>
    <w:rsid w:val="00A26204"/>
    <w:rsid w:val="00A3686C"/>
    <w:rsid w:val="00A41FB0"/>
    <w:rsid w:val="00A5422C"/>
    <w:rsid w:val="00A57C5E"/>
    <w:rsid w:val="00A629C4"/>
    <w:rsid w:val="00A64C34"/>
    <w:rsid w:val="00A8032D"/>
    <w:rsid w:val="00A8289A"/>
    <w:rsid w:val="00A82E92"/>
    <w:rsid w:val="00A851FF"/>
    <w:rsid w:val="00A86B3C"/>
    <w:rsid w:val="00A87525"/>
    <w:rsid w:val="00A91680"/>
    <w:rsid w:val="00A94941"/>
    <w:rsid w:val="00AA15D6"/>
    <w:rsid w:val="00AA51EE"/>
    <w:rsid w:val="00AA7E24"/>
    <w:rsid w:val="00AC230A"/>
    <w:rsid w:val="00AD10B7"/>
    <w:rsid w:val="00AD721B"/>
    <w:rsid w:val="00AE5EE9"/>
    <w:rsid w:val="00AF0053"/>
    <w:rsid w:val="00B13C10"/>
    <w:rsid w:val="00B15742"/>
    <w:rsid w:val="00B20496"/>
    <w:rsid w:val="00B22A5B"/>
    <w:rsid w:val="00B307F7"/>
    <w:rsid w:val="00B474CF"/>
    <w:rsid w:val="00B6657A"/>
    <w:rsid w:val="00B66A6A"/>
    <w:rsid w:val="00B85367"/>
    <w:rsid w:val="00B90D0D"/>
    <w:rsid w:val="00BA4097"/>
    <w:rsid w:val="00BD094C"/>
    <w:rsid w:val="00BD57B4"/>
    <w:rsid w:val="00BF20BA"/>
    <w:rsid w:val="00BF6DF2"/>
    <w:rsid w:val="00BF7919"/>
    <w:rsid w:val="00C04CD7"/>
    <w:rsid w:val="00C10ABC"/>
    <w:rsid w:val="00C15EE6"/>
    <w:rsid w:val="00C32656"/>
    <w:rsid w:val="00C359AC"/>
    <w:rsid w:val="00C37888"/>
    <w:rsid w:val="00C4641F"/>
    <w:rsid w:val="00C51F9A"/>
    <w:rsid w:val="00C6226C"/>
    <w:rsid w:val="00C70C5A"/>
    <w:rsid w:val="00C73906"/>
    <w:rsid w:val="00C80D2C"/>
    <w:rsid w:val="00C819D3"/>
    <w:rsid w:val="00C84277"/>
    <w:rsid w:val="00C854CA"/>
    <w:rsid w:val="00C87181"/>
    <w:rsid w:val="00C91F2B"/>
    <w:rsid w:val="00CA683C"/>
    <w:rsid w:val="00CA74C9"/>
    <w:rsid w:val="00CB04B5"/>
    <w:rsid w:val="00CB5F85"/>
    <w:rsid w:val="00CB7084"/>
    <w:rsid w:val="00CD373B"/>
    <w:rsid w:val="00CD7E24"/>
    <w:rsid w:val="00CF41D7"/>
    <w:rsid w:val="00CF42AB"/>
    <w:rsid w:val="00D0581B"/>
    <w:rsid w:val="00D35C59"/>
    <w:rsid w:val="00D42F7D"/>
    <w:rsid w:val="00D446F0"/>
    <w:rsid w:val="00D44E8D"/>
    <w:rsid w:val="00D804F1"/>
    <w:rsid w:val="00D86A8D"/>
    <w:rsid w:val="00DA1934"/>
    <w:rsid w:val="00DC0E88"/>
    <w:rsid w:val="00DE1509"/>
    <w:rsid w:val="00E051B9"/>
    <w:rsid w:val="00E06F2F"/>
    <w:rsid w:val="00E21B81"/>
    <w:rsid w:val="00E27BEA"/>
    <w:rsid w:val="00E315C3"/>
    <w:rsid w:val="00E324AE"/>
    <w:rsid w:val="00E422F5"/>
    <w:rsid w:val="00E50255"/>
    <w:rsid w:val="00E51104"/>
    <w:rsid w:val="00E95A7D"/>
    <w:rsid w:val="00EA1B7A"/>
    <w:rsid w:val="00EA260A"/>
    <w:rsid w:val="00EE0EFC"/>
    <w:rsid w:val="00EF2797"/>
    <w:rsid w:val="00EF6C4E"/>
    <w:rsid w:val="00F03BF2"/>
    <w:rsid w:val="00F14596"/>
    <w:rsid w:val="00F16458"/>
    <w:rsid w:val="00F2244D"/>
    <w:rsid w:val="00F25B03"/>
    <w:rsid w:val="00F27B4A"/>
    <w:rsid w:val="00F34638"/>
    <w:rsid w:val="00F409AD"/>
    <w:rsid w:val="00F47FC6"/>
    <w:rsid w:val="00F6602D"/>
    <w:rsid w:val="00F66CC8"/>
    <w:rsid w:val="00F90058"/>
    <w:rsid w:val="00F93F62"/>
    <w:rsid w:val="00FB1131"/>
    <w:rsid w:val="00FB3E76"/>
    <w:rsid w:val="00FB7961"/>
    <w:rsid w:val="00FC12CF"/>
    <w:rsid w:val="00FC1561"/>
    <w:rsid w:val="00FC5F52"/>
    <w:rsid w:val="00FD0982"/>
    <w:rsid w:val="00FD1A55"/>
    <w:rsid w:val="00FD7840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bdb"/>
    </o:shapedefaults>
    <o:shapelayout v:ext="edit">
      <o:idmap v:ext="edit" data="1"/>
    </o:shapelayout>
  </w:shapeDefaults>
  <w:decimalSymbol w:val=","/>
  <w:listSeparator w:val=";"/>
  <w14:docId w14:val="33C5F732"/>
  <w15:docId w15:val="{7BF93D6D-17A2-4909-B626-7BE38539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032D"/>
  </w:style>
  <w:style w:type="paragraph" w:styleId="Nagwek1">
    <w:name w:val="heading 1"/>
    <w:basedOn w:val="Normalny"/>
    <w:next w:val="Normalny"/>
    <w:link w:val="Nagwek1Znak"/>
    <w:uiPriority w:val="9"/>
    <w:qFormat/>
    <w:rsid w:val="00FD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9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6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F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3B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8B"/>
  </w:style>
  <w:style w:type="paragraph" w:styleId="Stopka">
    <w:name w:val="footer"/>
    <w:basedOn w:val="Normalny"/>
    <w:link w:val="StopkaZnak"/>
    <w:uiPriority w:val="99"/>
    <w:unhideWhenUsed/>
    <w:rsid w:val="0038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8B"/>
  </w:style>
  <w:style w:type="character" w:customStyle="1" w:styleId="Nagwek3Znak">
    <w:name w:val="Nagłówek 3 Znak"/>
    <w:basedOn w:val="Domylnaczcionkaakapitu"/>
    <w:link w:val="Nagwek3"/>
    <w:uiPriority w:val="9"/>
    <w:rsid w:val="00292A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09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0651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epcja@hoteltobaco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zerwacje@hoteltobac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druzdz@ibwch.lodz.pl" TargetMode="External"/><Relationship Id="rId10" Type="http://schemas.openxmlformats.org/officeDocument/2006/relationships/hyperlink" Target="file:///D:\Moje%20Dokumenty\Konferencje\Koncerencje%20naukowe\Gospodarka%20o%20Obiegu%20Zamknientym\www.fibtex.lodz.pl\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bwch@ibwch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1C26-6D63-4BC4-8123-097CDE7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Zarzycka</dc:creator>
  <cp:lastModifiedBy>katarzynadruzdz</cp:lastModifiedBy>
  <cp:revision>2</cp:revision>
  <cp:lastPrinted>2018-09-05T09:59:00Z</cp:lastPrinted>
  <dcterms:created xsi:type="dcterms:W3CDTF">2019-09-20T07:28:00Z</dcterms:created>
  <dcterms:modified xsi:type="dcterms:W3CDTF">2019-09-20T07:28:00Z</dcterms:modified>
</cp:coreProperties>
</file>